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1"/>
          <w:szCs w:val="11"/>
          <w:b w:val="1"/>
          <w:bCs w:val="1"/>
          <w:color w:val="auto"/>
        </w:rPr>
        <w:t>____________________________</w:t>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Date of report (Date of earliest event reported): February 7, 2024</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FORMFACTOR, INC.</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242"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000-50307</w:t>
            </w:r>
          </w:p>
        </w:tc>
        <w:tc>
          <w:tcPr>
            <w:tcW w:w="30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13-3711155</w:t>
            </w:r>
          </w:p>
        </w:tc>
      </w:tr>
      <w:tr>
        <w:trPr>
          <w:trHeight w:val="216"/>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31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(Commission File Number)</w:t>
            </w:r>
          </w:p>
        </w:tc>
        <w:tc>
          <w:tcPr>
            <w:tcW w:w="30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86"/>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7005 Southfront Road</w:t>
            </w:r>
          </w:p>
        </w:tc>
        <w:tc>
          <w:tcPr>
            <w:tcW w:w="3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57"/>
        </w:trPr>
        <w:tc>
          <w:tcPr>
            <w:tcW w:w="350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rPr>
              <w:t>Livermore, CA</w:t>
            </w:r>
          </w:p>
        </w:tc>
        <w:tc>
          <w:tcPr>
            <w:tcW w:w="3160" w:type="dxa"/>
            <w:vAlign w:val="bottom"/>
          </w:tcPr>
          <w:p>
            <w:pPr>
              <w:spacing w:after="0"/>
              <w:rPr>
                <w:sz w:val="22"/>
                <w:szCs w:val="22"/>
                <w:color w:val="auto"/>
              </w:rPr>
            </w:pPr>
          </w:p>
        </w:tc>
        <w:tc>
          <w:tcPr>
            <w:tcW w:w="30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94551</w:t>
            </w:r>
          </w:p>
        </w:tc>
      </w:tr>
      <w:tr>
        <w:trPr>
          <w:trHeight w:val="216"/>
        </w:trPr>
        <w:tc>
          <w:tcPr>
            <w:tcW w:w="350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60" w:type="dxa"/>
            <w:vAlign w:val="bottom"/>
          </w:tcPr>
          <w:p>
            <w:pPr>
              <w:spacing w:after="0"/>
              <w:rPr>
                <w:sz w:val="18"/>
                <w:szCs w:val="18"/>
                <w:color w:val="auto"/>
              </w:rPr>
            </w:pPr>
          </w:p>
        </w:tc>
        <w:tc>
          <w:tcPr>
            <w:tcW w:w="30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(925) 290-4000</w:t>
      </w:r>
    </w:p>
    <w:p>
      <w:pPr>
        <w:spacing w:after="0" w:line="2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_____________________________</w:t>
      </w:r>
    </w:p>
    <w:p>
      <w:pPr>
        <w:spacing w:after="0" w:line="200" w:lineRule="exact"/>
        <w:rPr>
          <w:sz w:val="24"/>
          <w:szCs w:val="24"/>
          <w:color w:val="auto"/>
        </w:rPr>
      </w:pPr>
    </w:p>
    <w:p>
      <w:pPr>
        <w:spacing w:after="0" w:line="206" w:lineRule="exact"/>
        <w:rPr>
          <w:sz w:val="24"/>
          <w:szCs w:val="24"/>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51"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80" w:hanging="348"/>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9"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678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r>
      <w:tr>
        <w:trPr>
          <w:trHeight w:val="246"/>
        </w:trPr>
        <w:tc>
          <w:tcPr>
            <w:tcW w:w="28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282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44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Market</w:t>
            </w:r>
          </w:p>
        </w:tc>
      </w:tr>
    </w:tbl>
    <w:p>
      <w:pPr>
        <w:spacing w:after="0" w:line="381" w:lineRule="exact"/>
        <w:rPr>
          <w:sz w:val="24"/>
          <w:szCs w:val="24"/>
          <w:color w:val="auto"/>
        </w:rPr>
      </w:pPr>
    </w:p>
    <w:p>
      <w:pPr>
        <w:ind w:right="140" w:firstLine="36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73"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Emerging growth company</w:t>
      </w:r>
    </w:p>
    <w:p>
      <w:pPr>
        <w:spacing w:after="0" w:line="248" w:lineRule="exact"/>
        <w:rPr>
          <w:rFonts w:ascii="MS PGothic" w:cs="MS PGothic" w:eastAsia="MS PGothic" w:hAnsi="MS PGothic"/>
          <w:sz w:val="16"/>
          <w:szCs w:val="16"/>
          <w:color w:val="auto"/>
        </w:rPr>
      </w:pPr>
    </w:p>
    <w:p>
      <w:pPr>
        <w:ind w:right="440" w:firstLine="332"/>
        <w:spacing w:after="0" w:line="298" w:lineRule="auto"/>
        <w:tabs>
          <w:tab w:leader="none" w:pos="63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7, 2024, FormFactor, Inc. (“FormFactor”) issued a press release announcing its financial results for the fourth quarter of fiscal 2023 that ended on December 30, 2023. A copy of the press release is furnished as Exhibit 99.01 to this report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herewith and this list is intended to constitute the exhibit index.</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7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4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99.</w:t>
            </w:r>
            <w:r>
              <w:rPr>
                <w:rFonts w:ascii="Times New Roman" w:cs="Times New Roman" w:eastAsia="Times New Roman" w:hAnsi="Times New Roman"/>
                <w:sz w:val="18"/>
                <w:szCs w:val="18"/>
                <w:u w:val="single" w:color="auto"/>
                <w:color w:val="0000FF"/>
                <w:w w:val="98"/>
              </w:rPr>
              <w:t>01</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February 7, 2024</w:t>
            </w:r>
          </w:p>
        </w:tc>
      </w:tr>
    </w:tbl>
    <w:p>
      <w:pPr>
        <w:spacing w:after="0" w:line="3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information in this report and the accompanying exhibit shall not be incorporated by reference into any filing of FormFactor with the Securities and Exchange Commission, whether made before or after the date hereof, regardless of any general incorporation language in such filing, unless expressly incorporated by specific reference in such filing. The information in this report, including the accompanying exhibit, shall not be deemed to be “filed” for purposes of Section 18 of the Securities Exchange Act of 1934, as amended, or otherwise subject to the liabilities of that section or Sections 11 and 12(a)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580" w:type="dxa"/>
            <w:vAlign w:val="bottom"/>
            <w:gridSpan w:val="3"/>
          </w:tcPr>
          <w:p>
            <w:pPr>
              <w:ind w:left="1740"/>
              <w:spacing w:after="0"/>
              <w:rPr>
                <w:sz w:val="20"/>
                <w:szCs w:val="20"/>
                <w:color w:val="auto"/>
              </w:rPr>
            </w:pPr>
            <w:r>
              <w:rPr>
                <w:rFonts w:ascii="Times New Roman" w:cs="Times New Roman" w:eastAsia="Times New Roman" w:hAnsi="Times New Roman"/>
                <w:sz w:val="18"/>
                <w:szCs w:val="18"/>
                <w:b w:val="1"/>
                <w:bCs w:val="1"/>
                <w:color w:val="auto"/>
              </w:rPr>
              <w:t>FORMFACTOR, INC.</w:t>
            </w:r>
          </w:p>
        </w:tc>
      </w:tr>
      <w:tr>
        <w:trPr>
          <w:trHeight w:val="7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7580" w:type="dxa"/>
            <w:vAlign w:val="bottom"/>
            <w:gridSpan w:val="3"/>
          </w:tcPr>
          <w:p>
            <w:pPr>
              <w:ind w:left="1740"/>
              <w:spacing w:after="0"/>
              <w:rPr>
                <w:sz w:val="20"/>
                <w:szCs w:val="20"/>
                <w:color w:val="auto"/>
              </w:rPr>
            </w:pPr>
            <w:r>
              <w:rPr>
                <w:rFonts w:ascii="Times New Roman" w:cs="Times New Roman" w:eastAsia="Times New Roman" w:hAnsi="Times New Roman"/>
                <w:sz w:val="18"/>
                <w:szCs w:val="18"/>
                <w:color w:val="auto"/>
              </w:rPr>
              <w:t>By:   /s/ SHAI SHAHAR</w:t>
            </w:r>
          </w:p>
        </w:tc>
      </w:tr>
      <w:tr>
        <w:trPr>
          <w:trHeight w:val="218"/>
        </w:trPr>
        <w:tc>
          <w:tcPr>
            <w:tcW w:w="3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Shai Shahar</w:t>
            </w:r>
          </w:p>
        </w:tc>
      </w:tr>
      <w:tr>
        <w:trPr>
          <w:trHeight w:val="234"/>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10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9448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28257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 Finkelstein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84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290-4321 ir@formfactor.com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 REPORTS 2023 FOURTH QUARTER AND FISCAL 2023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Delivered Q4 Revenue and Gross Margin above Mid-Point of the Outlook Range, Sees Similar Overall Demand Levels in Q1</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LIVERMORE, Calif. — February 7, 2024 </w:t>
      </w:r>
      <w:r>
        <w:rPr>
          <w:rFonts w:ascii="Times New Roman" w:cs="Times New Roman" w:eastAsia="Times New Roman" w:hAnsi="Times New Roman"/>
          <w:sz w:val="18"/>
          <w:szCs w:val="18"/>
          <w:color w:val="auto"/>
        </w:rPr>
        <w:t>—FormFactor, Inc. (Nasdaq: FORM) today announced its financial results for the fourth quarter of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ended December 30, 2023. Quarterly revenues were $168.2 million, a decrease of 2.0% compared to $171.6 million in the third quarter of fiscal 2023, and an increase of 1.3% from $166.0 million in the fourth quarter of fiscal 2022. For fiscal 2023, FormFactor recorded revenues of $663 million, down 11.3% from $748 million in fiscal 2022.</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relatively stable demand as the result of its differentiated product diversification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Benefited from strong demand for DRAM probe cards driven by growth of high-bandwidth-memory, a key enabler of generative AI.</w:t>
      </w:r>
    </w:p>
    <w:p>
      <w:pPr>
        <w:spacing w:after="0" w:line="9"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agreement today with Grand Junction Semiconductor Pte. Ltd. to divest China operations and establish an exclusive distribution and partnership agreement to continue sales and support of FormFactor’s products in the region.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the outlook, FormFactor delivered moderately higher fourth quarter revenue and gross margins offset by a higher tax rate that produce non-GAAP EPS at mid-point of the outlook,” said Mike Slessor, CEO of FormFactor, Inc. “The strength and stability of our balanced product portfolio enables us to make investments in innovation, capacity and other strategic initiatives, while maximizing quarterly profitability and protecting our strong balance sheet during the current period of industry softness.”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Fiscal 2023 Highlights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GAAP basis, net income for the fourth quarter of fiscal 2023 was $75.8 million, or $0.97 per fully-diluted share, compared to net income for the third quarter of fiscal 2023 of $4.4 million, or $0.06 per fully-diluted share, and net loss for the fourth quarter of fiscal 2022 of $13.7 million, or negative $0.18 per fully-diluted share. Net income for fiscal 2023 was $82.4 million, or $1.05 per fully-diluted share, compared to net income for fiscal 2022 of $50.7 million, or $0.65, per fully-diluted share. Gross margin for the fourth quarter of 2023 was 40.4%, compared with 40.4% in the third quarter of 2023, and 27.2% in the fourth quarter of 2022. Gross margin for fiscal 2023 was 39.0%, compared to 39.6% for fiscal 2022. The GAAP financial results for the fourth quarter of 2023 include a $73.0 million gain from the sale of FRT that has been excluded from FormFactor's fourth quarter non-GAAP results.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 non-GAAP basis, net income for the fourth quarter of fiscal 2023 was $15.7 million, or $0.20 per fully-diluted share, compared to net income for the third quarter of fiscal 2023 of $17.3 million, or $0.22 per fully-diluted share, and net income for the fourth quarter of fiscal 2022 of $4.1 million, or $0.05 per fully-diluted share. Non-GAAP net income for fiscal 2023 was $56.8 million, or $0.73 per fully-diluted share, compared to net income of $97.9 million, or $1.25 per fully-diluted share for fiscal 2022. On a non-GAAP basis, gross margin for the fourth quarter of 2023 was 42.1%, compared with 41.8% in the third quarter of 2023, and 31.7% in the fourth quarter of 2022. Non-GAAP gross margin for fiscal 2023 was 40.7%, compared to 42.3% for fiscal 2022.</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GAAP to non-GAAP measures is provided in the schedules included below.</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net cash provided by operating activities for the fourth quarter of fiscal 2023 was $9.3 million, compared to $20.6 million for the third quarter of fiscal 2023, and $20.7 million for the fourth quarter of fiscal 2022. Free cash flow for the fourth quarter of fiscal 2023 was negative $0.3 million, compared to free cash flow for the third quarter of fiscal 2023 of $16.9 million, and free cash flow for the fourth quarter of 2022 of negative $5.4 million. Free cash flow for fiscal 2023 and fiscal</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2022 was $11.4 million and $67.1 million, respectively. A reconciliation of net cash provided by operating activities to non-GAAP free cash flow is provided in the schedules included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Dr. Slessor added, “We continue to operate in an overall demand environment similar to the levels we experienced last year and expect FormFactor’s first-quarter results to be similar to those achieved in recent quarters.”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ending March 30, 2024, FormFactor is providing the following outlook*:</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2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GAAP</w:t>
            </w:r>
          </w:p>
        </w:tc>
        <w:tc>
          <w:tcPr>
            <w:tcW w:w="100" w:type="dxa"/>
            <w:vAlign w:val="bottom"/>
            <w:vMerge w:val="restart"/>
          </w:tcPr>
          <w:p>
            <w:pPr>
              <w:spacing w:after="0"/>
              <w:rPr>
                <w:sz w:val="15"/>
                <w:szCs w:val="15"/>
                <w:color w:val="auto"/>
              </w:rPr>
            </w:pPr>
          </w:p>
        </w:tc>
        <w:tc>
          <w:tcPr>
            <w:tcW w:w="14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100" w:type="dxa"/>
            <w:vAlign w:val="bottom"/>
          </w:tcPr>
          <w:p>
            <w:pPr>
              <w:spacing w:after="0"/>
              <w:rPr>
                <w:sz w:val="15"/>
                <w:szCs w:val="15"/>
                <w:color w:val="auto"/>
              </w:rPr>
            </w:pPr>
          </w:p>
        </w:tc>
        <w:tc>
          <w:tcPr>
            <w:tcW w:w="2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Non-GAAP</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$165 million +/- $5 million</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$165 million +/- $5 million</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72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40% +/- 1.5%</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$2 million</w:t>
            </w:r>
          </w:p>
        </w:tc>
        <w:tc>
          <w:tcPr>
            <w:tcW w:w="274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41% +/- 1.5%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diluted share</w:t>
            </w:r>
          </w:p>
        </w:tc>
        <w:tc>
          <w:tcPr>
            <w:tcW w:w="27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$0.07 +/- $0.04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$0.19 +/-$0.04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*This outlook assumes consistent foreign currency rates.</w:t>
      </w:r>
    </w:p>
    <w:p>
      <w:pPr>
        <w:spacing w:after="0" w:line="23" w:lineRule="exact"/>
        <w:rPr>
          <w:sz w:val="20"/>
          <w:szCs w:val="20"/>
          <w:color w:val="auto"/>
        </w:rPr>
      </w:pPr>
    </w:p>
    <w:p>
      <w:pPr>
        <w:ind w:left="660"/>
        <w:spacing w:after="0" w:line="257" w:lineRule="auto"/>
        <w:rPr>
          <w:sz w:val="20"/>
          <w:szCs w:val="20"/>
          <w:color w:val="auto"/>
        </w:rPr>
      </w:pPr>
      <w:r>
        <w:rPr>
          <w:rFonts w:ascii="Times New Roman" w:cs="Times New Roman" w:eastAsia="Times New Roman" w:hAnsi="Times New Roman"/>
          <w:sz w:val="16"/>
          <w:szCs w:val="16"/>
          <w:color w:val="auto"/>
        </w:rPr>
        <w:t>**Reconciling items are stock-based compensation, restructuring charges, divestiture-related expenses, adjustments to the gain on sale of business, and amortization of intangibles and fixed asset fair value adjustments due to acquisitions, net of applicable income tax impacts.</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posted our revenue breakdown by geographic region, by market segment and with customers with greater than 10% of total revenue on the Investor Relations section of our website at www.formfactor.com. We will conduct a conference call at 1:25 p.m. PT, or 4:25 p.m. ET, today.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public is invited to listen to a live webcast of FormFactor’s conference call on the Investor Relations section of our website at www.formfactor.com. A telephone replay of the conference call will be available approximately two hours after the conclusion of the call. The replay will be available on the Investor Relations section of our website, www.formfactor.com.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Non-GAAP Financial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condensed consolidated financial results prepared under generally accepted accounting principles, or GAAP, we disclose certain non-GAAP measures of non-GAAP net income, non-GAAP net income per basic and diluted share, non-GAAP gross profit, non-GAAP gross margin, non-GAAP operating expenses and non-GAAP operating income, that are adjusted from the nearest GAAP financial measure to exclude certain costs, expenses, gains and losses. Reconciliations of the adjustments to GAAP results for the three and twelve months ended December 30, 2023, and for outlook provided before, as well as for the comparable periods of fiscal 2022, are provided below, and on the Investor Relations section of our website at www.formfactor.com. Information regarding the ways in which management uses non-GAAP financial information to evaluate its business, management's reasons for using this non-GAAP financial information, and limitations associated with the use of non-GAAP financial information, is included under “About our Non-GAAP Financial Measures” following the tables below.</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FormFactor: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FormFactor, Inc. (NASDAQ: FORM), is a leading provider of essential test and measurement technologies along the full semiconductor product life cycle - from characterization, modeling, reliability, and design de-bug, to qualification and production test. Semiconductor companies rely upon FormFactor’s products and services to accelerate profitability by optimizing device performance and advancing yield knowledge. The Company serves customers through its network of facilities in Asia, Europe, and North America. For more information, visit the Company’s website at www.formfactor.com.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federal securities laws, including with respect to the Company’s future financial and operating results, and the Company’s plans, strategies and objectives for future operations. These statements are based on management’s current expectations and beliefs as of the date of this release, and are subject to a number of risks and uncertainties, many of which are beyond the Company’s control, that could cause actual results to differ materially from those described in the forward-looking statements. These forward-looking statements include, but are not limited to, statements regarding future financial and operating results, customer demand, conditions in the semiconductor industry, and growth opportunities, and other statements regarding the Company’s business. Forward-looking statements may contain words such as “may,” “might,” “will,” “expect,” “plan,” “anticipate,” and “continue,” the negative or plural of these words and similar expressions, and include the assumptions that underlie such</w:t>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The following factors, among others, could cause actual results to differ materially from those described in the forward-looking statements: changes in demand for the Company’s products; customer-specific demand; market opportunity; anticipated industry trends; the availability, benefits, and speed of customer acceptance or implementation of new products and technologies; manufacturing, processing, and design capacity, goals, expansion, volumes, and progress; difficulties or delays in research and development; industry seasonality; risks to the Company’s realization of benefits from acquisitions, investments in capacity and investments in new electronic data systems and information technology; reliance on customers or third parties (including suppliers); changes in macro-economic environments; events affecting global and regional economic and market conditions and stability such as military conflicts, political volatility, infectious diseases and pandemics, and similar factors, operating separately or in combination; and other factors, including those set forth in the Company’s most current annual report on Form 10-K, quarterly reports on Form 10-Q and other filings by the Company with the U.S. Securities and Exchange Commission. We continue to operate in an environment with substantial uncertainties arising from global, regional and national health crises such as the COVID-19 pandemic, including with respect to their impact on our operations, capacity, customer demand, and supply chain, as well as the macroeconomic environment. In addition, there are varying barriers to international trade, including restrictive trade and export regulations such as the US-China restrictions, dynamic tariffs, trade disputes between the U.S. and other countries, and national security developments or tensions, that may substantially restrict or condition our sales to or in certain countries, increase the cost of doing business internationally, and disrupt our supply chain. No assurances can be given that any of the events anticipated by the forward-looking statements within this press release will transpire or occur, or if any of them do so, what impact they will have on the results of operations or financial condition of the Company. Unless required by law, the Company is under no obligation (and expressly disclaims any such obligation) to update or revise its forward-looking statements whether as a result of new information, future events, or otherwise.</w:t>
      </w:r>
    </w:p>
    <w:p>
      <w:pPr>
        <w:sectPr>
          <w:pgSz w:w="11900" w:h="16838" w:orient="portrait"/>
          <w:cols w:equalWidth="0" w:num="1">
            <w:col w:w="11240"/>
          </w:cols>
          <w:pgMar w:left="320" w:top="891" w:right="339"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747,937</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451,928</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296,009</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109,222</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31,451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131,875</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241,097</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business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57,870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0" w:type="dxa"/>
            <w:vAlign w:val="bottom"/>
          </w:tcPr>
          <w:p>
            <w:pPr>
              <w:spacing w:after="0"/>
              <w:rPr>
                <w:sz w:val="1"/>
                <w:szCs w:val="1"/>
                <w:color w:val="auto"/>
              </w:rPr>
            </w:pPr>
          </w:p>
        </w:tc>
      </w:tr>
      <w:tr>
        <w:trPr>
          <w:trHeight w:val="207"/>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75,846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82,387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50,738</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4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6"/>
                <w:szCs w:val="16"/>
                <w:color w:val="auto"/>
              </w:rPr>
              <w:t>Weighted-average number of shares used in per share calculations: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78,410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78,412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78,159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78,201</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80" w:top="887" w:right="35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24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60" w:type="dxa"/>
            <w:vAlign w:val="bottom"/>
          </w:tcPr>
          <w:p>
            <w:pPr>
              <w:spacing w:after="0"/>
              <w:rPr>
                <w:sz w:val="13"/>
                <w:szCs w:val="13"/>
                <w:color w:val="auto"/>
              </w:rPr>
            </w:pPr>
          </w:p>
        </w:tc>
        <w:tc>
          <w:tcPr>
            <w:tcW w:w="124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7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45,203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296,009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Amortization of intangibles, inventory and fixed asset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4,908</w:t>
            </w:r>
          </w:p>
        </w:tc>
        <w:tc>
          <w:tcPr>
            <w:tcW w:w="0" w:type="dxa"/>
            <w:vAlign w:val="bottom"/>
          </w:tcPr>
          <w:p>
            <w:pPr>
              <w:spacing w:after="0"/>
              <w:rPr>
                <w:sz w:val="1"/>
                <w:szCs w:val="1"/>
                <w:color w:val="auto"/>
              </w:rPr>
            </w:pPr>
          </w:p>
        </w:tc>
      </w:tr>
      <w:tr>
        <w:trPr>
          <w:trHeight w:val="129"/>
        </w:trPr>
        <w:tc>
          <w:tcPr>
            <w:tcW w:w="37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adjustments due to acquisitions, and other</w:t>
            </w:r>
          </w:p>
        </w:tc>
        <w:tc>
          <w:tcPr>
            <w:tcW w:w="16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7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00"/>
          </w:cols>
          <w:pgMar w:left="400" w:top="887" w:right="399" w:bottom="1440" w:gutter="0" w:footer="0" w:header="0"/>
        </w:sectPr>
      </w:pPr>
    </w:p>
    <w:p>
      <w:pPr>
        <w:ind w:left="14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charges</w:t>
      </w:r>
    </w:p>
    <w:p>
      <w:pPr>
        <w:spacing w:after="0" w:line="44"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auto"/>
        </w:rPr>
        <w:t>Non-GAAP Gross Profit</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GAAP Gross Margin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Adjustments:</w:t>
      </w:r>
    </w:p>
    <w:p>
      <w:pPr>
        <w:spacing w:after="0" w:line="32" w:lineRule="exact"/>
        <w:rPr>
          <w:sz w:val="20"/>
          <w:szCs w:val="20"/>
          <w:color w:val="auto"/>
        </w:rPr>
      </w:pPr>
    </w:p>
    <w:p>
      <w:pPr>
        <w:ind w:left="140" w:right="200"/>
        <w:spacing w:after="0" w:line="245" w:lineRule="auto"/>
        <w:rPr>
          <w:sz w:val="20"/>
          <w:szCs w:val="20"/>
          <w:color w:val="auto"/>
        </w:rPr>
      </w:pPr>
      <w:r>
        <w:rPr>
          <w:rFonts w:ascii="Times New Roman" w:cs="Times New Roman" w:eastAsia="Times New Roman" w:hAnsi="Times New Roman"/>
          <w:sz w:val="16"/>
          <w:szCs w:val="16"/>
          <w:color w:val="auto"/>
        </w:rPr>
        <w:t>Amortization of intangibles, inventory and fixed asset fair value adjustments due to acquisitions,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2,053</w:t>
            </w:r>
          </w:p>
        </w:tc>
        <w:tc>
          <w:tcPr>
            <w:tcW w:w="4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3,807</w:t>
            </w:r>
          </w:p>
        </w:tc>
      </w:tr>
      <w:tr>
        <w:trPr>
          <w:trHeight w:val="216"/>
        </w:trPr>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11,775</w:t>
            </w:r>
          </w:p>
        </w:tc>
      </w:tr>
      <w:tr>
        <w:trPr>
          <w:trHeight w:val="213"/>
        </w:trPr>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5"/>
              </w:rPr>
              <w:t>70,743</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71,779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52,658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270,127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316,499</w:t>
            </w:r>
          </w:p>
        </w:tc>
      </w:tr>
      <w:tr>
        <w:trPr>
          <w:trHeight w:val="23"/>
        </w:trPr>
        <w:tc>
          <w:tcPr>
            <w:tcW w:w="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47"/>
        </w:trPr>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40.4 %</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39.6 %</w:t>
            </w:r>
          </w:p>
        </w:tc>
      </w:tr>
      <w:tr>
        <w:trPr>
          <w:trHeight w:val="513"/>
        </w:trPr>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0.5 %</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-930275</wp:posOffset>
            </wp:positionV>
            <wp:extent cx="7037705" cy="746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74612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3840" w:space="640"/>
            <w:col w:w="6620"/>
          </w:cols>
          <w:pgMar w:left="400" w:top="887" w:right="39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420" w:type="dxa"/>
            <w:vAlign w:val="bottom"/>
          </w:tcPr>
          <w:p>
            <w:pPr>
              <w:spacing w:after="0"/>
              <w:rPr>
                <w:sz w:val="18"/>
                <w:szCs w:val="18"/>
                <w:color w:val="auto"/>
              </w:rPr>
            </w:pPr>
          </w:p>
        </w:tc>
        <w:tc>
          <w:tcPr>
            <w:tcW w:w="10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3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expenses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59,617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66,578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61,148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241,097</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 and other</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(6,184)</w:t>
            </w: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(9,463)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(31,762)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(27,530)</w:t>
            </w: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(3,664)</w:t>
            </w: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related to sale of business</w:t>
            </w:r>
          </w:p>
        </w:tc>
        <w:tc>
          <w:tcPr>
            <w:tcW w:w="4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209,344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203,719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400" w:top="887" w:right="399" w:bottom="1440" w:gutter="0" w:footer="0" w:header="0"/>
          <w:type w:val="continuous"/>
        </w:sectPr>
      </w:pPr>
    </w:p>
    <w:p>
      <w:pPr>
        <w:spacing w:after="0" w:line="41"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auto"/>
        </w:rPr>
        <w:t>GAAP operating income (loss)</w:t>
      </w:r>
      <w:r>
        <w:rPr>
          <w:sz w:val="20"/>
          <w:szCs w:val="20"/>
          <w:color w:val="auto"/>
        </w:rPr>
        <w:tab/>
      </w:r>
      <w:r>
        <w:rPr>
          <w:rFonts w:ascii="Times New Roman" w:cs="Times New Roman" w:eastAsia="Times New Roman" w:hAnsi="Times New Roman"/>
          <w:sz w:val="16"/>
          <w:szCs w:val="16"/>
          <w:color w:val="auto"/>
        </w:rPr>
        <w: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Adjustments:</w:t>
      </w:r>
    </w:p>
    <w:p>
      <w:pPr>
        <w:spacing w:after="0" w:line="32" w:lineRule="exact"/>
        <w:rPr>
          <w:sz w:val="20"/>
          <w:szCs w:val="20"/>
          <w:color w:val="auto"/>
        </w:rPr>
      </w:pPr>
    </w:p>
    <w:p>
      <w:pPr>
        <w:ind w:left="140" w:right="200"/>
        <w:spacing w:after="0" w:line="245" w:lineRule="auto"/>
        <w:rPr>
          <w:sz w:val="20"/>
          <w:szCs w:val="20"/>
          <w:color w:val="auto"/>
        </w:rPr>
      </w:pPr>
      <w:r>
        <w:rPr>
          <w:rFonts w:ascii="Times New Roman" w:cs="Times New Roman" w:eastAsia="Times New Roman" w:hAnsi="Times New Roman"/>
          <w:sz w:val="16"/>
          <w:szCs w:val="16"/>
          <w:color w:val="auto"/>
        </w:rPr>
        <w:t>Amortization of intangibles, inventory and fixed asset fair value adjustments due to acquisitions, and other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5"/>
              </w:rPr>
              <w:t>81,270</w:t>
            </w:r>
          </w:p>
        </w:tc>
        <w:tc>
          <w:tcPr>
            <w:tcW w:w="6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2,707</w:t>
            </w:r>
          </w:p>
        </w:tc>
        <w:tc>
          <w:tcPr>
            <w:tcW w:w="5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(15,945)</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82,756</w:t>
            </w:r>
          </w:p>
        </w:tc>
        <w:tc>
          <w:tcPr>
            <w:tcW w:w="5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54,912</w:t>
            </w:r>
          </w:p>
        </w:tc>
      </w:tr>
      <w:tr>
        <w:trPr>
          <w:trHeight w:val="513"/>
        </w:trPr>
        <w:tc>
          <w:tcPr>
            <w:tcW w:w="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1,274</w:t>
            </w:r>
          </w:p>
        </w:tc>
        <w:tc>
          <w:tcPr>
            <w:tcW w:w="6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1,584</w:t>
            </w:r>
          </w:p>
        </w:tc>
        <w:tc>
          <w:tcPr>
            <w:tcW w:w="540" w:type="dxa"/>
            <w:vAlign w:val="bottom"/>
          </w:tcPr>
          <w:p>
            <w:pPr>
              <w:spacing w:after="0"/>
              <w:rPr>
                <w:sz w:val="24"/>
                <w:szCs w:val="24"/>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2,890</w:t>
            </w:r>
          </w:p>
        </w:tc>
        <w:tc>
          <w:tcPr>
            <w:tcW w:w="54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8,417</w:t>
            </w: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-458470</wp:posOffset>
            </wp:positionV>
            <wp:extent cx="703770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137160"/>
                    </a:xfrm>
                    <a:prstGeom prst="rect">
                      <a:avLst/>
                    </a:prstGeom>
                    <a:noFill/>
                  </pic:spPr>
                </pic:pic>
              </a:graphicData>
            </a:graphic>
          </wp:anchor>
        </w:drawing>
        <w:drawing>
          <wp:anchor simplePos="0" relativeHeight="251657728" behindDoc="1" locked="0" layoutInCell="0" allowOverlap="1">
            <wp:simplePos x="0" y="0"/>
            <wp:positionH relativeFrom="column">
              <wp:posOffset>-2838450</wp:posOffset>
            </wp:positionH>
            <wp:positionV relativeFrom="paragraph">
              <wp:posOffset>-184150</wp:posOffset>
            </wp:positionV>
            <wp:extent cx="703770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3840" w:space="640"/>
            <w:col w:w="6620"/>
          </w:cols>
          <w:pgMar w:left="400" w:top="887" w:right="39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10,839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38,616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31,337</w:t>
            </w: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15,439</w:t>
            </w: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business and related costs</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(72,685)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(70,546)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112,780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400" w:top="887" w:right="399" w:bottom="1440" w:gutter="0" w:footer="0" w:header="0"/>
          <w:type w:val="continuous"/>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18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60" w:type="dxa"/>
            <w:vAlign w:val="bottom"/>
          </w:tcPr>
          <w:p>
            <w:pPr>
              <w:spacing w:after="0"/>
              <w:rPr>
                <w:sz w:val="13"/>
                <w:szCs w:val="13"/>
                <w:color w:val="auto"/>
              </w:rPr>
            </w:pPr>
          </w:p>
        </w:tc>
        <w:tc>
          <w:tcPr>
            <w:tcW w:w="118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50,738</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Amortization of intangibles, inventory and fixed asset fair</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value adjustments due to acquisitions</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31,337</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15,439</w:t>
            </w:r>
          </w:p>
        </w:tc>
        <w:tc>
          <w:tcPr>
            <w:tcW w:w="0" w:type="dxa"/>
            <w:vAlign w:val="bottom"/>
          </w:tcPr>
          <w:p>
            <w:pPr>
              <w:spacing w:after="0"/>
              <w:rPr>
                <w:sz w:val="1"/>
                <w:szCs w:val="1"/>
                <w:color w:val="auto"/>
              </w:rPr>
            </w:pP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business and related costs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97,943</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 (loss) per share: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00" w:type="dxa"/>
            <w:vAlign w:val="bottom"/>
            <w:vMerge w:val="continue"/>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per share: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00" w:type="dxa"/>
            <w:vAlign w:val="bottom"/>
            <w:vMerge w:val="continue"/>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887" w:right="39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9"/>
        </w:trPr>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50,738</w:t>
            </w: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Selected 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28,646</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w:t>
            </w: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31,337</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excess and obsolete inventories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24,632</w:t>
            </w: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business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restructuring charges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activity impacting operating cash flows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(13,158)</w:t>
            </w:r>
          </w:p>
        </w:tc>
      </w:tr>
      <w:tr>
        <w:trPr>
          <w:trHeight w:val="212"/>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131,786</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(65,254)</w:t>
            </w: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business</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 net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promissory note receivable</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proved by (used in) investing activities</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(75,704)</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common stock through stock repurchase program</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(82,328)</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issuances of common stock</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w:t>
            </w: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repayments on term loans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w:t>
            </w: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withholdings related to net share settlements of equity awards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(15,705)</w:t>
            </w:r>
          </w:p>
        </w:tc>
      </w:tr>
      <w:tr>
        <w:trPr>
          <w:trHeight w:val="207"/>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(95,932)</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r>
      <w:tr>
        <w:trPr>
          <w:trHeight w:val="20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(42,360)</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155,342</w:t>
            </w:r>
          </w:p>
        </w:tc>
      </w:tr>
      <w:tr>
        <w:trPr>
          <w:trHeight w:val="20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112,982</w:t>
            </w:r>
          </w:p>
        </w:tc>
      </w:tr>
      <w:tr>
        <w:trPr>
          <w:trHeight w:val="23"/>
        </w:trPr>
        <w:tc>
          <w:tcPr>
            <w:tcW w:w="8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ectPr>
          <w:pgSz w:w="11900" w:h="16838" w:orient="portrait"/>
          <w:cols w:equalWidth="0" w:num="1">
            <w:col w:w="10980"/>
          </w:cols>
          <w:pgMar w:left="460" w:top="887" w:right="45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CASH PROVIDED BY OPERATING ACTIVITIES TO NON-GAAP FREE CASH FLOW</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158"/>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118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4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131,786</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related to sale of business in working capital</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19"/>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(65,254)</w:t>
            </w:r>
          </w:p>
        </w:tc>
      </w:tr>
      <w:tr>
        <w:trPr>
          <w:trHeight w:val="207"/>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67,067</w:t>
            </w:r>
          </w:p>
        </w:tc>
      </w:tr>
      <w:tr>
        <w:trPr>
          <w:trHeight w:val="23"/>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ectPr>
          <w:pgSz w:w="11900" w:h="16838" w:orient="portrait"/>
          <w:cols w:equalWidth="0" w:num="1">
            <w:col w:w="11140"/>
          </w:cols>
          <w:pgMar w:left="380" w:top="887"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FORMFACTOR,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30,</w:t>
            </w: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109,130</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129,006</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88,143</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123,157</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 held-for-sale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23,895</w:t>
            </w:r>
          </w:p>
        </w:tc>
      </w:tr>
      <w:tr>
        <w:trPr>
          <w:trHeight w:val="20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474,552</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31,362</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189,848</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211,444</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67,646</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r>
      <w:tr>
        <w:trPr>
          <w:trHeight w:val="20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1,106,794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1,032,967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1,008,228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2"/>
        </w:trPr>
        <w:tc>
          <w:tcPr>
            <w:tcW w:w="6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1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69,308</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42,115</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term loan, net of unamortized issuance costs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29,846</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 held-for-sale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7,353</w:t>
            </w:r>
          </w:p>
        </w:tc>
      </w:tr>
      <w:tr>
        <w:trPr>
          <w:trHeight w:val="20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149,667</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less current portion, net of unamortized issuance costs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27,587</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grant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w:t>
            </w:r>
          </w:p>
        </w:tc>
      </w:tr>
      <w:tr>
        <w:trPr>
          <w:trHeight w:val="20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197,990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199,943</w:t>
            </w:r>
          </w:p>
        </w:tc>
      </w:tr>
      <w:tr>
        <w:trPr>
          <w:trHeight w:val="165"/>
        </w:trPr>
        <w:tc>
          <w:tcPr>
            <w:tcW w:w="6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844,842</w:t>
            </w:r>
          </w:p>
        </w:tc>
      </w:tr>
      <w:tr>
        <w:trPr>
          <w:trHeight w:val="21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1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income (deficit)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(31,056)</w:t>
            </w:r>
          </w:p>
        </w:tc>
      </w:tr>
      <w:tr>
        <w:trPr>
          <w:trHeight w:val="212"/>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840,688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808,285</w:t>
            </w:r>
          </w:p>
        </w:tc>
      </w:tr>
      <w:tr>
        <w:trPr>
          <w:trHeight w:val="207"/>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1,106,794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1,032,967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1,008,228</w:t>
            </w:r>
          </w:p>
        </w:tc>
      </w:tr>
      <w:tr>
        <w:trPr>
          <w:trHeight w:val="23"/>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About our Non-GAAP Financial Measures:</w:t>
      </w: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the presentation of non-GAAP net income, non-GAAP net income per basic and diluted share, non-GAAP gross profit, non-GAAP gross margin, non-GAAP operating expenses, non-GAAP operating income and free cash flow provides supplemental information that is important to understanding financial and business trends and other factors relating to our financial condition and results of operations. Non-GAAP net income, non-GAAP net income per basic and diluted share, non-GAAP gross profit, non-GAAP gross margin, non-GAAP operating expenses, and non-GAAP operating income are among the primary indicators used by management as a basis for planning and forecasting future periods, and by management and our board of directors to determine whether our operating performance has met certain targets and thresholds. Management uses non-GAAP net income, non-GAAP net income per basic and diluted share, non-GAAP gross profit, non-GAAP gross margin, non-GAAP operating expenses, and non-GAAP operating income when evaluating operating performance because it believes that the exclusion of the items indicated herein, for which the amounts or timing may vary significantly depending upon our activities and other factors, facilitates comparability of our operating performance from period to period. We use free cash flow to conduct and evaluate our business as an additional way of viewing our liquidity that, when viewed with our GAAP results, provides a more complete understanding of factors and trends affecting our cash flows. Many investors also prefer to track free cash flow, as opposed to only GAAP earnings. Free cash flow has limitations due to the fact that it does not represent the residual cash flow available for discretionary expenditures, and therefore it is important to view free cash flow as a complement to our entire consolidated statements of cash flows. We have chosen to provide this non-GAAP information to investors so they can analyze our operating results closer to the way that management does, and use this information in their assessment of our business and the valuation of our Company. We compute non-GAAP net income, non-GAAP net income per basic and diluted share, non-GAAP gross profit, non-GAAP gross margin, non-GAAP operating expenses, and non-GAAP operating income, by adjusting GAAP net income, GAAP net income per basic and diluted share, GAAP gross profit, GAAP gross margin, GAAP operating expenses, and GAAP operating income (loss) to remove the impact of certain items and the tax effect, if applicable, of those adjustments. These non-GAAP measures are not in accordance with, or an alternative to, GAAP, and may be materially different from other non-GAAP measures, including similarly titled non-GAAP measures used by other companies. The presentation of this additional information should not be considered in isolation from, as a substitute for, or superior to, net income, net income per basic and diluted share, gross profit, gross margin, operating expenses, or operating income (loss) in accordance with GAAP. Non-GAAP financial measures have limitations in that they do not reflect certain items that may have a material impact upon our reported financial results. We may expect to continue to incur expenses of a nature similar to the non-GAAP adjustments described above, and exclusion of these items from our non-GAAP net income, non-GAAP net income per basic and diluted share, non-GAAP gross profit, non-GAAP gross margin, non-GAAP operating expenses, and non-GAAP operating income should not be construed as an inference that these costs are unusual, infrequent or non-recurring. For more information on the non-GAAP adjustments, please see the table captioned “Non-GAAP Financial Measure Reconciliations” and “Reconciliation of Cash Provided by Operating Activities to non-GAAP Free Cash Flow” included in this press release.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FormFactor,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FORM-F</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92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2024-02-07T15:31:10Z</dcterms:created>
  <dcterms:modified xsi:type="dcterms:W3CDTF">2024-02-07T15:31:10Z</dcterms:modified>
</cp:coreProperties>
</file>