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200025</wp:posOffset>
            </wp:positionH>
            <wp:positionV relativeFrom="page">
              <wp:posOffset>648335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614680</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w:t>
      </w:r>
    </w:p>
    <w:p>
      <w:pPr>
        <w:spacing w:after="0" w:line="49"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59"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4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64" w:lineRule="exact"/>
        <w:rPr>
          <w:sz w:val="24"/>
          <w:szCs w:val="24"/>
          <w:color w:val="auto"/>
        </w:rPr>
      </w:pPr>
    </w:p>
    <w:p>
      <w:pPr>
        <w:ind w:left="4320" w:right="4560" w:hanging="3811"/>
        <w:spacing w:after="0" w:line="342" w:lineRule="auto"/>
        <w:tabs>
          <w:tab w:leader="none" w:pos="744"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 For the fiscal year ended December 30, 2023</w:t>
      </w:r>
    </w:p>
    <w:p>
      <w:pPr>
        <w:ind w:left="5320"/>
        <w:spacing w:after="0"/>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Or</w:t>
      </w:r>
    </w:p>
    <w:p>
      <w:pPr>
        <w:spacing w:after="0" w:line="64" w:lineRule="exact"/>
        <w:rPr>
          <w:sz w:val="24"/>
          <w:szCs w:val="24"/>
          <w:color w:val="auto"/>
        </w:rPr>
      </w:pPr>
    </w:p>
    <w:p>
      <w:pPr>
        <w:ind w:left="740" w:hanging="231"/>
        <w:spacing w:after="0"/>
        <w:tabs>
          <w:tab w:leader="none" w:pos="74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43" w:lineRule="exact"/>
        <w:rPr>
          <w:sz w:val="24"/>
          <w:szCs w:val="24"/>
          <w:color w:val="auto"/>
        </w:rPr>
      </w:pPr>
    </w:p>
    <w:tbl>
      <w:tblPr>
        <w:tblLayout w:type="fixed"/>
        <w:tblInd w:w="3580" w:type="dxa"/>
        <w:tblCellMar>
          <w:top w:w="0" w:type="dxa"/>
          <w:left w:w="0" w:type="dxa"/>
          <w:bottom w:w="0" w:type="dxa"/>
          <w:right w:w="0" w:type="dxa"/>
        </w:tblCellMar>
      </w:tblPr>
      <w:tr>
        <w:trPr>
          <w:trHeight w:val="149"/>
        </w:trPr>
        <w:tc>
          <w:tcPr>
            <w:tcW w:w="2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For the transition period from</w:t>
            </w:r>
          </w:p>
        </w:tc>
        <w:tc>
          <w:tcPr>
            <w:tcW w:w="1620" w:type="dxa"/>
            <w:vAlign w:val="bottom"/>
          </w:tcPr>
          <w:p>
            <w:pPr>
              <w:ind w:left="500"/>
              <w:spacing w:after="0"/>
              <w:rPr>
                <w:sz w:val="20"/>
                <w:szCs w:val="20"/>
                <w:color w:val="auto"/>
              </w:rPr>
            </w:pPr>
            <w:r>
              <w:rPr>
                <w:rFonts w:ascii="Times New Roman" w:cs="Times New Roman" w:eastAsia="Times New Roman" w:hAnsi="Times New Roman"/>
                <w:sz w:val="11"/>
                <w:szCs w:val="11"/>
                <w:b w:val="1"/>
                <w:bCs w:val="1"/>
                <w:color w:val="auto"/>
              </w:rPr>
              <w:t>to</w:t>
            </w:r>
          </w:p>
        </w:tc>
      </w:tr>
      <w:tr>
        <w:trPr>
          <w:trHeight w:val="180"/>
        </w:trPr>
        <w:tc>
          <w:tcPr>
            <w:tcW w:w="3620" w:type="dxa"/>
            <w:vAlign w:val="bottom"/>
            <w:gridSpan w:val="2"/>
          </w:tcPr>
          <w:p>
            <w:pPr>
              <w:ind w:left="940"/>
              <w:spacing w:after="0"/>
              <w:rPr>
                <w:sz w:val="20"/>
                <w:szCs w:val="20"/>
                <w:color w:val="auto"/>
              </w:rPr>
            </w:pPr>
            <w:r>
              <w:rPr>
                <w:rFonts w:ascii="Times New Roman" w:cs="Times New Roman" w:eastAsia="Times New Roman" w:hAnsi="Times New Roman"/>
                <w:sz w:val="11"/>
                <w:szCs w:val="11"/>
                <w:b w:val="1"/>
                <w:bCs w:val="1"/>
                <w:color w:val="auto"/>
              </w:rPr>
              <w:t>Commission file number: 000-50307</w:t>
            </w:r>
          </w:p>
        </w:tc>
      </w:tr>
      <w:tr>
        <w:trPr>
          <w:trHeight w:val="115"/>
        </w:trPr>
        <w:tc>
          <w:tcPr>
            <w:tcW w:w="200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r>
    </w:tbl>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80" w:type="dxa"/>
            <w:vAlign w:val="bottom"/>
            <w:gridSpan w:val="5"/>
          </w:tcPr>
          <w:p>
            <w:pPr>
              <w:jc w:val="center"/>
              <w:ind w:right="4743"/>
              <w:spacing w:after="0"/>
              <w:rPr>
                <w:sz w:val="20"/>
                <w:szCs w:val="20"/>
                <w:color w:val="auto"/>
              </w:rPr>
            </w:pPr>
            <w:r>
              <w:rPr>
                <w:rFonts w:ascii="Times New Roman" w:cs="Times New Roman" w:eastAsia="Times New Roman" w:hAnsi="Times New Roman"/>
                <w:sz w:val="17"/>
                <w:szCs w:val="17"/>
                <w:b w:val="1"/>
                <w:bCs w:val="1"/>
                <w:color w:val="auto"/>
                <w:w w:val="99"/>
              </w:rPr>
              <w:t>FormFactor, Inc.</w:t>
            </w:r>
          </w:p>
        </w:tc>
      </w:tr>
      <w:tr>
        <w:trPr>
          <w:trHeight w:val="207"/>
        </w:trPr>
        <w:tc>
          <w:tcPr>
            <w:tcW w:w="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40" w:type="dxa"/>
            <w:vAlign w:val="bottom"/>
            <w:gridSpan w:val="6"/>
          </w:tcPr>
          <w:p>
            <w:pPr>
              <w:jc w:val="center"/>
              <w:ind w:right="3763"/>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tc>
      </w:tr>
      <w:tr>
        <w:trPr>
          <w:trHeight w:val="170"/>
        </w:trPr>
        <w:tc>
          <w:tcPr>
            <w:tcW w:w="80" w:type="dxa"/>
            <w:vAlign w:val="bottom"/>
          </w:tcPr>
          <w:p>
            <w:pPr>
              <w:spacing w:after="0"/>
              <w:rPr>
                <w:sz w:val="14"/>
                <w:szCs w:val="14"/>
                <w:color w:val="auto"/>
              </w:rPr>
            </w:pPr>
          </w:p>
        </w:tc>
        <w:tc>
          <w:tcPr>
            <w:tcW w:w="3500" w:type="dxa"/>
            <w:vAlign w:val="bottom"/>
            <w:gridSpan w:val="2"/>
          </w:tcPr>
          <w:p>
            <w:pPr>
              <w:jc w:val="center"/>
              <w:ind w:left="1143"/>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180" w:type="dxa"/>
            <w:vAlign w:val="bottom"/>
            <w:gridSpan w:val="4"/>
          </w:tcPr>
          <w:p>
            <w:pPr>
              <w:jc w:val="right"/>
              <w:ind w:right="2363"/>
              <w:spacing w:after="0"/>
              <w:rPr>
                <w:sz w:val="20"/>
                <w:szCs w:val="20"/>
                <w:color w:val="auto"/>
              </w:rPr>
            </w:pPr>
            <w:r>
              <w:rPr>
                <w:rFonts w:ascii="Times New Roman" w:cs="Times New Roman" w:eastAsia="Times New Roman" w:hAnsi="Times New Roman"/>
                <w:sz w:val="11"/>
                <w:szCs w:val="11"/>
                <w:b w:val="1"/>
                <w:bCs w:val="1"/>
                <w:color w:val="auto"/>
              </w:rPr>
              <w:t>13-3711155</w:t>
            </w:r>
          </w:p>
        </w:tc>
      </w:tr>
      <w:tr>
        <w:trPr>
          <w:trHeight w:val="125"/>
        </w:trPr>
        <w:tc>
          <w:tcPr>
            <w:tcW w:w="80" w:type="dxa"/>
            <w:vAlign w:val="bottom"/>
          </w:tcPr>
          <w:p>
            <w:pPr>
              <w:spacing w:after="0"/>
              <w:rPr>
                <w:sz w:val="10"/>
                <w:szCs w:val="10"/>
                <w:color w:val="auto"/>
              </w:rPr>
            </w:pPr>
          </w:p>
        </w:tc>
        <w:tc>
          <w:tcPr>
            <w:tcW w:w="3500" w:type="dxa"/>
            <w:vAlign w:val="bottom"/>
            <w:gridSpan w:val="2"/>
          </w:tcPr>
          <w:p>
            <w:pPr>
              <w:jc w:val="center"/>
              <w:ind w:left="1163"/>
              <w:spacing w:after="0" w:line="125" w:lineRule="exact"/>
              <w:rPr>
                <w:sz w:val="20"/>
                <w:szCs w:val="20"/>
                <w:color w:val="auto"/>
              </w:rPr>
            </w:pPr>
            <w:r>
              <w:rPr>
                <w:rFonts w:ascii="Times New Roman" w:cs="Times New Roman" w:eastAsia="Times New Roman" w:hAnsi="Times New Roman"/>
                <w:sz w:val="11"/>
                <w:szCs w:val="11"/>
                <w:color w:val="auto"/>
              </w:rPr>
              <w:t>(State or other jurisdiction of</w:t>
            </w:r>
          </w:p>
        </w:tc>
        <w:tc>
          <w:tcPr>
            <w:tcW w:w="9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tcPr>
          <w:p>
            <w:pPr>
              <w:jc w:val="center"/>
              <w:ind w:right="1583"/>
              <w:spacing w:after="0" w:line="125" w:lineRule="exact"/>
              <w:rPr>
                <w:sz w:val="20"/>
                <w:szCs w:val="20"/>
                <w:color w:val="auto"/>
              </w:rPr>
            </w:pPr>
            <w:r>
              <w:rPr>
                <w:rFonts w:ascii="Times New Roman" w:cs="Times New Roman" w:eastAsia="Times New Roman" w:hAnsi="Times New Roman"/>
                <w:sz w:val="11"/>
                <w:szCs w:val="11"/>
                <w:color w:val="auto"/>
              </w:rPr>
              <w:t>(I.R.S. Employer</w:t>
            </w:r>
          </w:p>
        </w:tc>
      </w:tr>
      <w:tr>
        <w:trPr>
          <w:trHeight w:val="147"/>
        </w:trPr>
        <w:tc>
          <w:tcPr>
            <w:tcW w:w="80" w:type="dxa"/>
            <w:vAlign w:val="bottom"/>
          </w:tcPr>
          <w:p>
            <w:pPr>
              <w:spacing w:after="0"/>
              <w:rPr>
                <w:sz w:val="12"/>
                <w:szCs w:val="12"/>
                <w:color w:val="auto"/>
              </w:rPr>
            </w:pPr>
          </w:p>
        </w:tc>
        <w:tc>
          <w:tcPr>
            <w:tcW w:w="3500" w:type="dxa"/>
            <w:vAlign w:val="bottom"/>
            <w:gridSpan w:val="2"/>
          </w:tcPr>
          <w:p>
            <w:pPr>
              <w:jc w:val="center"/>
              <w:ind w:left="1163"/>
              <w:spacing w:after="0"/>
              <w:rPr>
                <w:sz w:val="20"/>
                <w:szCs w:val="20"/>
                <w:color w:val="auto"/>
              </w:rPr>
            </w:pPr>
            <w:r>
              <w:rPr>
                <w:rFonts w:ascii="Times New Roman" w:cs="Times New Roman" w:eastAsia="Times New Roman" w:hAnsi="Times New Roman"/>
                <w:sz w:val="11"/>
                <w:szCs w:val="11"/>
                <w:color w:val="auto"/>
              </w:rPr>
              <w:t>incorporation or organization)</w:t>
            </w:r>
          </w:p>
        </w:tc>
        <w:tc>
          <w:tcPr>
            <w:tcW w:w="9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40" w:type="dxa"/>
            <w:vAlign w:val="bottom"/>
          </w:tcPr>
          <w:p>
            <w:pPr>
              <w:jc w:val="center"/>
              <w:ind w:right="1603"/>
              <w:spacing w:after="0"/>
              <w:rPr>
                <w:sz w:val="20"/>
                <w:szCs w:val="20"/>
                <w:color w:val="auto"/>
              </w:rPr>
            </w:pPr>
            <w:r>
              <w:rPr>
                <w:rFonts w:ascii="Times New Roman" w:cs="Times New Roman" w:eastAsia="Times New Roman" w:hAnsi="Times New Roman"/>
                <w:sz w:val="11"/>
                <w:szCs w:val="11"/>
                <w:color w:val="auto"/>
              </w:rPr>
              <w:t>Identification No.)</w:t>
            </w:r>
          </w:p>
        </w:tc>
      </w:tr>
      <w:tr>
        <w:trPr>
          <w:trHeight w:val="365"/>
        </w:trPr>
        <w:tc>
          <w:tcPr>
            <w:tcW w:w="80" w:type="dxa"/>
            <w:vAlign w:val="bottom"/>
          </w:tcPr>
          <w:p>
            <w:pPr>
              <w:spacing w:after="0"/>
              <w:rPr>
                <w:sz w:val="24"/>
                <w:szCs w:val="24"/>
                <w:color w:val="auto"/>
              </w:rPr>
            </w:pPr>
          </w:p>
        </w:tc>
        <w:tc>
          <w:tcPr>
            <w:tcW w:w="3500" w:type="dxa"/>
            <w:vAlign w:val="bottom"/>
            <w:gridSpan w:val="2"/>
          </w:tcPr>
          <w:p>
            <w:pPr>
              <w:jc w:val="center"/>
              <w:ind w:left="1143"/>
              <w:spacing w:after="0"/>
              <w:rPr>
                <w:sz w:val="20"/>
                <w:szCs w:val="20"/>
                <w:color w:val="auto"/>
              </w:rPr>
            </w:pPr>
            <w:r>
              <w:rPr>
                <w:rFonts w:ascii="Times New Roman" w:cs="Times New Roman" w:eastAsia="Times New Roman" w:hAnsi="Times New Roman"/>
                <w:sz w:val="11"/>
                <w:szCs w:val="11"/>
                <w:b w:val="1"/>
                <w:bCs w:val="1"/>
                <w:color w:val="auto"/>
              </w:rPr>
              <w:t>7005 Southfront Road, Livermore, California</w:t>
            </w: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180" w:type="dxa"/>
            <w:vAlign w:val="bottom"/>
            <w:gridSpan w:val="4"/>
          </w:tcPr>
          <w:p>
            <w:pPr>
              <w:jc w:val="right"/>
              <w:ind w:right="2503"/>
              <w:spacing w:after="0"/>
              <w:rPr>
                <w:sz w:val="20"/>
                <w:szCs w:val="20"/>
                <w:color w:val="auto"/>
              </w:rPr>
            </w:pPr>
            <w:r>
              <w:rPr>
                <w:rFonts w:ascii="Times New Roman" w:cs="Times New Roman" w:eastAsia="Times New Roman" w:hAnsi="Times New Roman"/>
                <w:sz w:val="11"/>
                <w:szCs w:val="11"/>
                <w:b w:val="1"/>
                <w:bCs w:val="1"/>
                <w:color w:val="auto"/>
              </w:rPr>
              <w:t>94551</w:t>
            </w:r>
          </w:p>
        </w:tc>
      </w:tr>
      <w:tr>
        <w:trPr>
          <w:trHeight w:val="159"/>
        </w:trPr>
        <w:tc>
          <w:tcPr>
            <w:tcW w:w="80" w:type="dxa"/>
            <w:vAlign w:val="bottom"/>
          </w:tcPr>
          <w:p>
            <w:pPr>
              <w:spacing w:after="0"/>
              <w:rPr>
                <w:sz w:val="13"/>
                <w:szCs w:val="13"/>
                <w:color w:val="auto"/>
              </w:rPr>
            </w:pPr>
          </w:p>
        </w:tc>
        <w:tc>
          <w:tcPr>
            <w:tcW w:w="3500" w:type="dxa"/>
            <w:vAlign w:val="bottom"/>
            <w:gridSpan w:val="2"/>
          </w:tcPr>
          <w:p>
            <w:pPr>
              <w:jc w:val="center"/>
              <w:ind w:left="1163"/>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9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tcPr>
          <w:p>
            <w:pPr>
              <w:jc w:val="center"/>
              <w:ind w:right="1583"/>
              <w:spacing w:after="0"/>
              <w:rPr>
                <w:sz w:val="20"/>
                <w:szCs w:val="20"/>
                <w:color w:val="auto"/>
              </w:rPr>
            </w:pPr>
            <w:r>
              <w:rPr>
                <w:rFonts w:ascii="Times New Roman" w:cs="Times New Roman" w:eastAsia="Times New Roman" w:hAnsi="Times New Roman"/>
                <w:sz w:val="11"/>
                <w:szCs w:val="11"/>
                <w:color w:val="auto"/>
              </w:rPr>
              <w:t>(Zip Code)</w:t>
            </w:r>
          </w:p>
        </w:tc>
      </w:tr>
      <w:tr>
        <w:trPr>
          <w:trHeight w:val="297"/>
        </w:trPr>
        <w:tc>
          <w:tcPr>
            <w:tcW w:w="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gridSpan w:val="2"/>
          </w:tcPr>
          <w:p>
            <w:pPr>
              <w:jc w:val="center"/>
              <w:ind w:left="1303"/>
              <w:spacing w:after="0"/>
              <w:rPr>
                <w:sz w:val="20"/>
                <w:szCs w:val="20"/>
                <w:color w:val="auto"/>
              </w:rPr>
            </w:pPr>
            <w:r>
              <w:rPr>
                <w:rFonts w:ascii="Times New Roman" w:cs="Times New Roman" w:eastAsia="Times New Roman" w:hAnsi="Times New Roman"/>
                <w:sz w:val="11"/>
                <w:szCs w:val="11"/>
                <w:b w:val="1"/>
                <w:bCs w:val="1"/>
                <w:color w:val="auto"/>
              </w:rPr>
              <w:t>(925) 290-4000</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0"/>
        </w:trPr>
        <w:tc>
          <w:tcPr>
            <w:tcW w:w="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40" w:type="dxa"/>
            <w:vAlign w:val="bottom"/>
            <w:gridSpan w:val="6"/>
          </w:tcPr>
          <w:p>
            <w:pPr>
              <w:jc w:val="center"/>
              <w:ind w:right="3763"/>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r>
      <w:tr>
        <w:trPr>
          <w:trHeight w:val="72"/>
        </w:trPr>
        <w:tc>
          <w:tcPr>
            <w:tcW w:w="80" w:type="dxa"/>
            <w:vAlign w:val="bottom"/>
          </w:tcPr>
          <w:p>
            <w:pPr>
              <w:spacing w:after="0"/>
              <w:rPr>
                <w:sz w:val="6"/>
                <w:szCs w:val="6"/>
                <w:color w:val="auto"/>
              </w:rPr>
            </w:pPr>
          </w:p>
        </w:tc>
        <w:tc>
          <w:tcPr>
            <w:tcW w:w="3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gridSpan w:val="2"/>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tcPr>
          <w:p>
            <w:pPr>
              <w:spacing w:after="0"/>
              <w:rPr>
                <w:sz w:val="6"/>
                <w:szCs w:val="6"/>
                <w:color w:val="auto"/>
              </w:rPr>
            </w:pPr>
          </w:p>
        </w:tc>
      </w:tr>
      <w:tr>
        <w:trPr>
          <w:trHeight w:val="258"/>
        </w:trPr>
        <w:tc>
          <w:tcPr>
            <w:tcW w:w="8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40" w:type="dxa"/>
            <w:vAlign w:val="bottom"/>
            <w:gridSpan w:val="6"/>
          </w:tcPr>
          <w:p>
            <w:pPr>
              <w:ind w:left="70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r>
      <w:tr>
        <w:trPr>
          <w:trHeight w:val="179"/>
        </w:trPr>
        <w:tc>
          <w:tcPr>
            <w:tcW w:w="80" w:type="dxa"/>
            <w:vAlign w:val="bottom"/>
          </w:tcPr>
          <w:p>
            <w:pPr>
              <w:spacing w:after="0"/>
              <w:rPr>
                <w:sz w:val="15"/>
                <w:szCs w:val="15"/>
                <w:color w:val="auto"/>
              </w:rPr>
            </w:pPr>
          </w:p>
        </w:tc>
        <w:tc>
          <w:tcPr>
            <w:tcW w:w="350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color w:val="auto"/>
              </w:rPr>
              <w:t>Title of each class</w:t>
            </w:r>
          </w:p>
        </w:tc>
        <w:tc>
          <w:tcPr>
            <w:tcW w:w="960" w:type="dxa"/>
            <w:vAlign w:val="bottom"/>
          </w:tcPr>
          <w:p>
            <w:pPr>
              <w:spacing w:after="0"/>
              <w:rPr>
                <w:sz w:val="15"/>
                <w:szCs w:val="15"/>
                <w:color w:val="auto"/>
              </w:rPr>
            </w:pPr>
          </w:p>
        </w:tc>
        <w:tc>
          <w:tcPr>
            <w:tcW w:w="1300" w:type="dxa"/>
            <w:vAlign w:val="bottom"/>
          </w:tcPr>
          <w:p>
            <w:pPr>
              <w:jc w:val="center"/>
              <w:ind w:left="336"/>
              <w:spacing w:after="0"/>
              <w:rPr>
                <w:sz w:val="20"/>
                <w:szCs w:val="20"/>
                <w:color w:val="auto"/>
              </w:rPr>
            </w:pPr>
            <w:r>
              <w:rPr>
                <w:rFonts w:ascii="Times New Roman" w:cs="Times New Roman" w:eastAsia="Times New Roman" w:hAnsi="Times New Roman"/>
                <w:sz w:val="11"/>
                <w:szCs w:val="11"/>
                <w:color w:val="auto"/>
              </w:rPr>
              <w:t>Trading Symbol(s)</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149"/>
        </w:trPr>
        <w:tc>
          <w:tcPr>
            <w:tcW w:w="80" w:type="dxa"/>
            <w:vAlign w:val="bottom"/>
          </w:tcPr>
          <w:p>
            <w:pPr>
              <w:spacing w:after="0"/>
              <w:rPr>
                <w:sz w:val="12"/>
                <w:szCs w:val="12"/>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Common stock, $0.001 par value</w:t>
            </w: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00" w:type="dxa"/>
            <w:vAlign w:val="bottom"/>
            <w:tcBorders>
              <w:top w:val="single" w:sz="8" w:color="auto"/>
            </w:tcBorders>
          </w:tcPr>
          <w:p>
            <w:pPr>
              <w:jc w:val="center"/>
              <w:ind w:left="336"/>
              <w:spacing w:after="0"/>
              <w:rPr>
                <w:sz w:val="20"/>
                <w:szCs w:val="20"/>
                <w:color w:val="auto"/>
              </w:rPr>
            </w:pPr>
            <w:r>
              <w:rPr>
                <w:rFonts w:ascii="Times New Roman" w:cs="Times New Roman" w:eastAsia="Times New Roman" w:hAnsi="Times New Roman"/>
                <w:sz w:val="11"/>
                <w:szCs w:val="11"/>
                <w:b w:val="1"/>
                <w:bCs w:val="1"/>
                <w:color w:val="auto"/>
              </w:rPr>
              <w:t>FORM</w:t>
            </w:r>
          </w:p>
        </w:tc>
        <w:tc>
          <w:tcPr>
            <w:tcW w:w="400" w:type="dxa"/>
            <w:vAlign w:val="bottom"/>
            <w:tcBorders>
              <w:top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Nasdaq Global Market</w:t>
            </w:r>
          </w:p>
        </w:tc>
      </w:tr>
      <w:tr>
        <w:trPr>
          <w:trHeight w:val="248"/>
        </w:trPr>
        <w:tc>
          <w:tcPr>
            <w:tcW w:w="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40" w:type="dxa"/>
            <w:vAlign w:val="bottom"/>
            <w:gridSpan w:val="6"/>
          </w:tcPr>
          <w:p>
            <w:pPr>
              <w:jc w:val="center"/>
              <w:ind w:right="3783"/>
              <w:spacing w:after="0"/>
              <w:rPr>
                <w:sz w:val="20"/>
                <w:szCs w:val="20"/>
                <w:color w:val="auto"/>
              </w:rPr>
            </w:pPr>
            <w:r>
              <w:rPr>
                <w:rFonts w:ascii="Times New Roman" w:cs="Times New Roman" w:eastAsia="Times New Roman" w:hAnsi="Times New Roman"/>
                <w:sz w:val="11"/>
                <w:szCs w:val="11"/>
                <w:color w:val="auto"/>
              </w:rPr>
              <w:t>Securities registered pursuant to Section 12(g) of the Act:</w:t>
            </w:r>
          </w:p>
        </w:tc>
      </w:tr>
      <w:tr>
        <w:trPr>
          <w:trHeight w:val="113"/>
        </w:trPr>
        <w:tc>
          <w:tcPr>
            <w:tcW w:w="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00" w:type="dxa"/>
            <w:vAlign w:val="bottom"/>
          </w:tcPr>
          <w:p>
            <w:pPr>
              <w:jc w:val="center"/>
              <w:ind w:left="316"/>
              <w:spacing w:after="0" w:line="113" w:lineRule="exact"/>
              <w:rPr>
                <w:sz w:val="20"/>
                <w:szCs w:val="20"/>
                <w:color w:val="auto"/>
              </w:rPr>
            </w:pPr>
            <w:r>
              <w:rPr>
                <w:rFonts w:ascii="Times New Roman" w:cs="Times New Roman" w:eastAsia="Times New Roman" w:hAnsi="Times New Roman"/>
                <w:sz w:val="11"/>
                <w:szCs w:val="11"/>
                <w:color w:val="auto"/>
              </w:rPr>
              <w:t>None</w:t>
            </w: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tcPr>
          <w:p>
            <w:pPr>
              <w:spacing w:after="0"/>
              <w:rPr>
                <w:sz w:val="9"/>
                <w:szCs w:val="9"/>
                <w:color w:val="auto"/>
              </w:rPr>
            </w:pPr>
          </w:p>
        </w:tc>
      </w:tr>
      <w:tr>
        <w:trPr>
          <w:trHeight w:val="169"/>
        </w:trPr>
        <w:tc>
          <w:tcPr>
            <w:tcW w:w="11020" w:type="dxa"/>
            <w:vAlign w:val="bottom"/>
            <w:gridSpan w:val="9"/>
          </w:tcPr>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tc>
      </w:tr>
      <w:tr>
        <w:trPr>
          <w:trHeight w:val="191"/>
        </w:trPr>
        <w:tc>
          <w:tcPr>
            <w:tcW w:w="5840" w:type="dxa"/>
            <w:vAlign w:val="bottom"/>
            <w:gridSpan w:val="5"/>
          </w:tcPr>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not required to file reports pursuant to Section 13 or Section 15(d) of the Act. Yes </w:t>
            </w:r>
            <w:r>
              <w:rPr>
                <w:rFonts w:ascii="MS PGothic" w:cs="MS PGothic" w:eastAsia="MS PGothic" w:hAnsi="MS PGothic"/>
                <w:sz w:val="11"/>
                <w:szCs w:val="11"/>
                <w:color w:val="auto"/>
              </w:rPr>
              <w:t>☐</w:t>
            </w:r>
          </w:p>
        </w:tc>
        <w:tc>
          <w:tcPr>
            <w:tcW w:w="5180" w:type="dxa"/>
            <w:vAlign w:val="bottom"/>
            <w:gridSpan w:val="4"/>
          </w:tcPr>
          <w:p>
            <w:pPr>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tc>
      </w:tr>
    </w:tbl>
    <w:p>
      <w:pPr>
        <w:spacing w:after="0" w:line="16" w:lineRule="exact"/>
        <w:rPr>
          <w:sz w:val="24"/>
          <w:szCs w:val="24"/>
          <w:color w:val="auto"/>
        </w:rPr>
      </w:pPr>
    </w:p>
    <w:p>
      <w:pPr>
        <w:jc w:val="both"/>
        <w:ind w:left="120" w:hanging="126"/>
        <w:spacing w:after="0" w:line="152"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6" w:lineRule="exact"/>
        <w:rPr>
          <w:sz w:val="24"/>
          <w:szCs w:val="24"/>
          <w:color w:val="auto"/>
        </w:rPr>
      </w:pPr>
    </w:p>
    <w:p>
      <w:pPr>
        <w:ind w:left="120" w:right="260" w:hanging="126"/>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submitted electronically every Interactive Data File required to be submitted pursuant to Rule 405 of the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w:t>
      </w:r>
    </w:p>
    <w:p>
      <w:pPr>
        <w:spacing w:after="0" w:line="2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1"/>
          <w:szCs w:val="11"/>
          <w:color w:val="auto"/>
        </w:rPr>
        <w:t>filer,” “smaller reporting company” and “emerging growth company” in Rule 12b-2 of the Exchange Act:</w:t>
      </w:r>
    </w:p>
    <w:p>
      <w:pPr>
        <w:sectPr>
          <w:pgSz w:w="11900" w:h="16838" w:orient="portrait"/>
          <w:cols w:equalWidth="0" w:num="1">
            <w:col w:w="11020"/>
          </w:cols>
          <w:pgMar w:left="560" w:top="1197" w:right="319" w:bottom="1440" w:gutter="0" w:footer="0" w:header="0"/>
        </w:sectPr>
      </w:pPr>
    </w:p>
    <w:p>
      <w:pPr>
        <w:spacing w:after="0" w:line="3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1"/>
          <w:szCs w:val="11"/>
          <w:color w:val="auto"/>
        </w:rPr>
        <w:t>Large accelerated filer</w:t>
      </w:r>
    </w:p>
    <w:p>
      <w:pPr>
        <w:spacing w:after="0" w:line="20" w:lineRule="exact"/>
        <w:rPr>
          <w:sz w:val="24"/>
          <w:szCs w:val="24"/>
          <w:color w:val="auto"/>
        </w:rPr>
      </w:pPr>
      <w:r>
        <w:rPr>
          <w:sz w:val="24"/>
          <w:szCs w:val="24"/>
          <w:color w:val="auto"/>
        </w:rPr>
        <w:br w:type="column"/>
      </w:r>
    </w:p>
    <w:p>
      <w:pPr>
        <w:spacing w:after="0" w:line="11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11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Non-accelerated filer</w:t>
      </w:r>
    </w:p>
    <w:p>
      <w:pPr>
        <w:spacing w:after="0" w:line="20" w:lineRule="exact"/>
        <w:rPr>
          <w:sz w:val="24"/>
          <w:szCs w:val="24"/>
          <w:color w:val="auto"/>
        </w:rPr>
      </w:pPr>
      <w:r>
        <w:rPr>
          <w:sz w:val="24"/>
          <w:szCs w:val="24"/>
          <w:color w:val="auto"/>
        </w:rPr>
        <w:br w:type="column"/>
      </w:r>
    </w:p>
    <w:p>
      <w:pPr>
        <w:jc w:val="center"/>
        <w:spacing w:after="0" w:line="11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11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112" w:lineRule="exact"/>
        <w:rPr>
          <w:sz w:val="20"/>
          <w:szCs w:val="20"/>
          <w:color w:val="auto"/>
        </w:rPr>
      </w:pPr>
      <w:r>
        <w:rPr>
          <w:rFonts w:ascii="MS PGothic" w:cs="MS PGothic" w:eastAsia="MS PGothic" w:hAnsi="MS PGothic"/>
          <w:sz w:val="12"/>
          <w:szCs w:val="12"/>
          <w:color w:val="auto"/>
        </w:rPr>
        <w:t>☐</w:t>
      </w:r>
    </w:p>
    <w:p>
      <w:pPr>
        <w:spacing w:after="0" w:line="189" w:lineRule="exact"/>
        <w:rPr>
          <w:sz w:val="24"/>
          <w:szCs w:val="24"/>
          <w:color w:val="auto"/>
        </w:rPr>
      </w:pPr>
    </w:p>
    <w:p>
      <w:pPr>
        <w:sectPr>
          <w:pgSz w:w="11900" w:h="16838" w:orient="portrait"/>
          <w:cols w:equalWidth="0" w:num="10">
            <w:col w:w="1520" w:space="380"/>
            <w:col w:w="120" w:space="680"/>
            <w:col w:w="760" w:space="520"/>
            <w:col w:w="120" w:space="580"/>
            <w:col w:w="960" w:space="420"/>
            <w:col w:w="120" w:space="460"/>
            <w:col w:w="1220" w:space="300"/>
            <w:col w:w="120" w:space="440"/>
            <w:col w:w="1240" w:space="280"/>
            <w:col w:w="780"/>
          </w:cols>
          <w:pgMar w:left="560" w:top="1197" w:right="319" w:bottom="1440" w:gutter="0" w:footer="0" w:header="0"/>
          <w:type w:val="continuous"/>
        </w:sectPr>
      </w:pPr>
    </w:p>
    <w:p>
      <w:pPr>
        <w:ind w:left="120" w:right="300" w:hanging="126"/>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6" w:lineRule="exact"/>
        <w:rPr>
          <w:sz w:val="24"/>
          <w:szCs w:val="24"/>
          <w:color w:val="auto"/>
        </w:rPr>
      </w:pPr>
    </w:p>
    <w:p>
      <w:pPr>
        <w:ind w:left="120" w:right="160" w:hanging="126"/>
        <w:spacing w:after="0" w:line="152"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prepares or issued its audit report. </w:t>
      </w:r>
      <w:r>
        <w:rPr>
          <w:rFonts w:ascii="MS PGothic" w:cs="MS PGothic" w:eastAsia="MS PGothic" w:hAnsi="MS PGothic"/>
          <w:sz w:val="11"/>
          <w:szCs w:val="11"/>
          <w:color w:val="auto"/>
        </w:rPr>
        <w:t>☒</w:t>
      </w: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69" w:lineRule="exact"/>
        <w:rPr>
          <w:sz w:val="24"/>
          <w:szCs w:val="24"/>
          <w:color w:val="auto"/>
        </w:rPr>
      </w:pPr>
    </w:p>
    <w:p>
      <w:pPr>
        <w:ind w:left="120" w:hanging="126"/>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27" w:lineRule="exact"/>
        <w:tabs>
          <w:tab w:leader="none" w:pos="5560" w:val="left"/>
        </w:tabs>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color w:val="auto"/>
        </w:rPr>
        <w:t xml:space="preserve">No </w:t>
      </w:r>
      <w:r>
        <w:rPr>
          <w:rFonts w:ascii="MS PGothic" w:cs="MS PGothic" w:eastAsia="MS PGothic" w:hAnsi="MS PGothic"/>
          <w:sz w:val="10"/>
          <w:szCs w:val="10"/>
          <w:color w:val="auto"/>
        </w:rPr>
        <w:t>☒</w:t>
      </w:r>
    </w:p>
    <w:p>
      <w:pPr>
        <w:spacing w:after="0" w:line="69" w:lineRule="exact"/>
        <w:rPr>
          <w:sz w:val="24"/>
          <w:szCs w:val="24"/>
          <w:color w:val="auto"/>
        </w:rPr>
      </w:pPr>
    </w:p>
    <w:p>
      <w:pPr>
        <w:ind w:left="120" w:right="380" w:hanging="126"/>
        <w:spacing w:after="0" w:line="300" w:lineRule="auto"/>
        <w:rPr>
          <w:sz w:val="20"/>
          <w:szCs w:val="20"/>
          <w:color w:val="auto"/>
        </w:rPr>
      </w:pPr>
      <w:r>
        <w:rPr>
          <w:rFonts w:ascii="Times New Roman" w:cs="Times New Roman" w:eastAsia="Times New Roman" w:hAnsi="Times New Roman"/>
          <w:sz w:val="11"/>
          <w:szCs w:val="11"/>
          <w:color w:val="auto"/>
        </w:rPr>
        <w:t>Aggregate market value of registrant's common stock held by non-affiliates of the registrant, based upon the closing price of a share of the registrant's common stock on July 1, 2023 (the last business day of the registrant's most recently completed second quarter) as reported by Nasdaq Global Market on that date: $1,891.7 million.</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of the registrant's common stock, par value $0.001 per share, outstanding as of February 16, 2024 was 77,598,433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-173990</wp:posOffset>
            </wp:positionH>
            <wp:positionV relativeFrom="paragraph">
              <wp:posOffset>463550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1197" w:right="319" w:bottom="1440" w:gutter="0" w:footer="0" w:header="0"/>
          <w:type w:val="continuous"/>
        </w:sectPr>
      </w:pPr>
    </w:p>
    <w:bookmarkStart w:id="1" w:name="page2"/>
    <w:bookmarkEnd w:id="1"/>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56" w:lineRule="exact"/>
        <w:rPr>
          <w:sz w:val="20"/>
          <w:szCs w:val="20"/>
          <w:color w:val="auto"/>
        </w:rPr>
      </w:pPr>
    </w:p>
    <w:p>
      <w:pPr>
        <w:ind w:left="120" w:hanging="126"/>
        <w:spacing w:after="0" w:line="300" w:lineRule="auto"/>
        <w:rPr>
          <w:sz w:val="20"/>
          <w:szCs w:val="20"/>
          <w:color w:val="auto"/>
        </w:rPr>
      </w:pPr>
      <w:r>
        <w:rPr>
          <w:rFonts w:ascii="Times New Roman" w:cs="Times New Roman" w:eastAsia="Times New Roman" w:hAnsi="Times New Roman"/>
          <w:sz w:val="11"/>
          <w:szCs w:val="11"/>
          <w:color w:val="auto"/>
        </w:rPr>
        <w:t>Portions of the registrant's definitive Proxy Statement for the 2024 Annual Meeting of Stockholders, which will be filed within 120 days of the end of the registrant's fiscal year ended December 30, 2023, are incorporated by reference in Part III hereof. Except with respect to information specifically incorporated by reference in this Annual Report on Form 10-K, the Proxy Statement is not deemed to be filed as a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551815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39370</wp:posOffset>
            </wp:positionV>
            <wp:extent cx="682498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24980" cy="13335"/>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19050</wp:posOffset>
            </wp:positionV>
            <wp:extent cx="68249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24980" cy="6985"/>
                    </a:xfrm>
                    <a:prstGeom prst="rect">
                      <a:avLst/>
                    </a:prstGeom>
                    <a:noFill/>
                  </pic:spPr>
                </pic:pic>
              </a:graphicData>
            </a:graphic>
          </wp:anchor>
        </w:drawing>
      </w:r>
    </w:p>
    <w:p>
      <w:pPr>
        <w:sectPr>
          <w:pgSz w:w="11900" w:h="16838" w:orient="portrait"/>
          <w:cols w:equalWidth="0" w:num="1">
            <w:col w:w="11020"/>
          </w:cols>
          <w:pgMar w:left="560" w:top="725" w:right="319" w:bottom="1440" w:gutter="0" w:footer="0" w:header="0"/>
        </w:sectPr>
      </w:pPr>
    </w:p>
    <w:bookmarkStart w:id="2" w:name="page3"/>
    <w:bookmarkEnd w:id="2"/>
    <w:tbl>
      <w:tblPr>
        <w:tblLayout w:type="fixed"/>
        <w:tblInd w:w="90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20" w:type="dxa"/>
            <w:vAlign w:val="bottom"/>
            <w:gridSpan w:val="9"/>
          </w:tcPr>
          <w:p>
            <w:pPr>
              <w:jc w:val="center"/>
              <w:ind w:right="3040"/>
              <w:spacing w:after="0"/>
              <w:rPr>
                <w:sz w:val="20"/>
                <w:szCs w:val="20"/>
                <w:color w:val="auto"/>
              </w:rPr>
            </w:pPr>
            <w:r>
              <w:rPr>
                <w:rFonts w:ascii="Times New Roman" w:cs="Times New Roman" w:eastAsia="Times New Roman" w:hAnsi="Times New Roman"/>
                <w:sz w:val="14"/>
                <w:szCs w:val="14"/>
                <w:b w:val="1"/>
                <w:bCs w:val="1"/>
                <w:color w:val="auto"/>
                <w:w w:val="99"/>
              </w:rPr>
              <w:t>FORMFACTOR, INC.</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40" w:type="dxa"/>
            <w:vAlign w:val="bottom"/>
            <w:gridSpan w:val="12"/>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Form 10-K for the Fiscal Year Ended December 30, 2023</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60" w:type="dxa"/>
            <w:vAlign w:val="bottom"/>
            <w:gridSpan w:val="7"/>
          </w:tcPr>
          <w:p>
            <w:pPr>
              <w:jc w:val="center"/>
              <w:ind w:right="3800"/>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9"/>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66"/>
        </w:trPr>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60" w:type="dxa"/>
            <w:vAlign w:val="bottom"/>
            <w:gridSpan w:val="7"/>
          </w:tcPr>
          <w:p>
            <w:pPr>
              <w:jc w:val="center"/>
              <w:ind w:right="38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940" w:type="dxa"/>
            <w:vAlign w:val="bottom"/>
            <w:gridSpan w:val="4"/>
          </w:tcPr>
          <w:p>
            <w:pPr>
              <w:spacing w:after="0" w:line="153" w:lineRule="exact"/>
              <w:rPr>
                <w:sz w:val="20"/>
                <w:szCs w:val="20"/>
                <w:color w:val="auto"/>
              </w:rPr>
            </w:pPr>
            <w:r>
              <w:rPr>
                <w:rFonts w:ascii="Times New Roman" w:cs="Times New Roman" w:eastAsia="Times New Roman" w:hAnsi="Times New Roman"/>
                <w:sz w:val="14"/>
                <w:szCs w:val="14"/>
                <w:color w:val="0000FF"/>
              </w:rPr>
              <w:t>Item 1:</w:t>
            </w:r>
          </w:p>
        </w:tc>
        <w:tc>
          <w:tcPr>
            <w:tcW w:w="8040" w:type="dxa"/>
            <w:vAlign w:val="bottom"/>
            <w:gridSpan w:val="22"/>
          </w:tcPr>
          <w:p>
            <w:pPr>
              <w:spacing w:after="0" w:line="153" w:lineRule="exact"/>
              <w:rPr>
                <w:sz w:val="20"/>
                <w:szCs w:val="20"/>
                <w:color w:val="auto"/>
              </w:rPr>
            </w:pPr>
            <w:r>
              <w:rPr>
                <w:rFonts w:ascii="Times New Roman" w:cs="Times New Roman" w:eastAsia="Times New Roman" w:hAnsi="Times New Roman"/>
                <w:sz w:val="14"/>
                <w:szCs w:val="14"/>
                <w:color w:val="0000FF"/>
              </w:rPr>
              <w:t>Business</w:t>
            </w:r>
          </w:p>
        </w:tc>
        <w:tc>
          <w:tcPr>
            <w:tcW w:w="520" w:type="dxa"/>
            <w:vAlign w:val="bottom"/>
            <w:gridSpan w:val="3"/>
          </w:tcPr>
          <w:p>
            <w:pPr>
              <w:jc w:val="right"/>
              <w:ind w:right="20"/>
              <w:spacing w:after="0" w:line="153" w:lineRule="exact"/>
              <w:rPr>
                <w:sz w:val="20"/>
                <w:szCs w:val="20"/>
                <w:color w:val="auto"/>
              </w:rPr>
            </w:pPr>
            <w:r>
              <w:rPr>
                <w:rFonts w:ascii="Times New Roman" w:cs="Times New Roman" w:eastAsia="Times New Roman" w:hAnsi="Times New Roman"/>
                <w:sz w:val="14"/>
                <w:szCs w:val="14"/>
                <w:color w:val="0000FF"/>
              </w:rPr>
              <w:t>5</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7"/>
              </w:rPr>
              <w:t>Item 1A:</w:t>
            </w:r>
          </w:p>
        </w:tc>
        <w:tc>
          <w:tcPr>
            <w:tcW w:w="460" w:type="dxa"/>
            <w:vAlign w:val="bottom"/>
            <w:gridSpan w:val="2"/>
          </w:tcPr>
          <w:p>
            <w:pPr>
              <w:spacing w:after="0"/>
              <w:rPr>
                <w:sz w:val="13"/>
                <w:szCs w:val="13"/>
                <w:color w:val="auto"/>
              </w:rPr>
            </w:pPr>
          </w:p>
        </w:tc>
        <w:tc>
          <w:tcPr>
            <w:tcW w:w="80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11</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8"/>
              </w:rPr>
              <w:t>Item 1B:</w:t>
            </w:r>
          </w:p>
        </w:tc>
        <w:tc>
          <w:tcPr>
            <w:tcW w:w="460" w:type="dxa"/>
            <w:vAlign w:val="bottom"/>
            <w:gridSpan w:val="2"/>
          </w:tcPr>
          <w:p>
            <w:pPr>
              <w:spacing w:after="0"/>
              <w:rPr>
                <w:sz w:val="13"/>
                <w:szCs w:val="13"/>
                <w:color w:val="auto"/>
              </w:rPr>
            </w:pPr>
          </w:p>
        </w:tc>
        <w:tc>
          <w:tcPr>
            <w:tcW w:w="80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21</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8"/>
              </w:rPr>
              <w:t>Item 1C:</w:t>
            </w:r>
          </w:p>
        </w:tc>
        <w:tc>
          <w:tcPr>
            <w:tcW w:w="460" w:type="dxa"/>
            <w:vAlign w:val="bottom"/>
            <w:gridSpan w:val="2"/>
          </w:tcPr>
          <w:p>
            <w:pPr>
              <w:spacing w:after="0"/>
              <w:rPr>
                <w:sz w:val="13"/>
                <w:szCs w:val="13"/>
                <w:color w:val="auto"/>
              </w:rPr>
            </w:pPr>
          </w:p>
        </w:tc>
        <w:tc>
          <w:tcPr>
            <w:tcW w:w="160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Cybersecurity</w:t>
            </w:r>
          </w:p>
        </w:tc>
        <w:tc>
          <w:tcPr>
            <w:tcW w:w="6440" w:type="dxa"/>
            <w:vAlign w:val="bottom"/>
            <w:gridSpan w:val="12"/>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w w:val="85"/>
              </w:rPr>
              <w:t>21</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2:</w:t>
            </w:r>
          </w:p>
        </w:tc>
        <w:tc>
          <w:tcPr>
            <w:tcW w:w="460" w:type="dxa"/>
            <w:vAlign w:val="bottom"/>
            <w:gridSpan w:val="2"/>
          </w:tcPr>
          <w:p>
            <w:pPr>
              <w:spacing w:after="0"/>
              <w:rPr>
                <w:sz w:val="13"/>
                <w:szCs w:val="13"/>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7240" w:type="dxa"/>
            <w:vAlign w:val="bottom"/>
            <w:gridSpan w:val="17"/>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w w:val="85"/>
              </w:rPr>
              <w:t>23</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3:</w:t>
            </w:r>
          </w:p>
        </w:tc>
        <w:tc>
          <w:tcPr>
            <w:tcW w:w="80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25</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4:</w:t>
            </w:r>
          </w:p>
        </w:tc>
        <w:tc>
          <w:tcPr>
            <w:tcW w:w="80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25</w:t>
            </w:r>
          </w:p>
        </w:tc>
      </w:tr>
      <w:tr>
        <w:trPr>
          <w:trHeight w:val="188"/>
        </w:trPr>
        <w:tc>
          <w:tcPr>
            <w:tcW w:w="40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60" w:type="dxa"/>
            <w:vAlign w:val="bottom"/>
            <w:gridSpan w:val="7"/>
          </w:tcPr>
          <w:p>
            <w:pPr>
              <w:jc w:val="center"/>
              <w:ind w:right="380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36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r>
      <w:tr>
        <w:trPr>
          <w:trHeight w:val="153"/>
        </w:trPr>
        <w:tc>
          <w:tcPr>
            <w:tcW w:w="940" w:type="dxa"/>
            <w:vAlign w:val="bottom"/>
            <w:gridSpan w:val="4"/>
          </w:tcPr>
          <w:p>
            <w:pPr>
              <w:spacing w:after="0" w:line="153" w:lineRule="exact"/>
              <w:rPr>
                <w:sz w:val="20"/>
                <w:szCs w:val="20"/>
                <w:color w:val="auto"/>
              </w:rPr>
            </w:pPr>
            <w:r>
              <w:rPr>
                <w:rFonts w:ascii="Times New Roman" w:cs="Times New Roman" w:eastAsia="Times New Roman" w:hAnsi="Times New Roman"/>
                <w:sz w:val="14"/>
                <w:szCs w:val="14"/>
                <w:color w:val="0000FF"/>
              </w:rPr>
              <w:t>Item 5:</w:t>
            </w:r>
          </w:p>
        </w:tc>
        <w:tc>
          <w:tcPr>
            <w:tcW w:w="8040" w:type="dxa"/>
            <w:vAlign w:val="bottom"/>
            <w:gridSpan w:val="22"/>
          </w:tcPr>
          <w:p>
            <w:pPr>
              <w:spacing w:after="0" w:line="153"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520" w:type="dxa"/>
            <w:vAlign w:val="bottom"/>
            <w:gridSpan w:val="3"/>
          </w:tcPr>
          <w:p>
            <w:pPr>
              <w:jc w:val="right"/>
              <w:ind w:right="20"/>
              <w:spacing w:after="0" w:line="153" w:lineRule="exact"/>
              <w:rPr>
                <w:sz w:val="20"/>
                <w:szCs w:val="20"/>
                <w:color w:val="auto"/>
              </w:rPr>
            </w:pPr>
            <w:r>
              <w:rPr>
                <w:rFonts w:ascii="Times New Roman" w:cs="Times New Roman" w:eastAsia="Times New Roman" w:hAnsi="Times New Roman"/>
                <w:sz w:val="14"/>
                <w:szCs w:val="14"/>
                <w:color w:val="0000FF"/>
              </w:rPr>
              <w:t>25</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Item 6:</w:t>
            </w:r>
          </w:p>
        </w:tc>
        <w:tc>
          <w:tcPr>
            <w:tcW w:w="460" w:type="dxa"/>
            <w:vAlign w:val="bottom"/>
            <w:gridSpan w:val="2"/>
          </w:tcPr>
          <w:p>
            <w:pPr>
              <w:spacing w:after="0"/>
              <w:rPr>
                <w:sz w:val="13"/>
                <w:szCs w:val="13"/>
                <w:color w:val="auto"/>
              </w:rPr>
            </w:pPr>
          </w:p>
        </w:tc>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7"/>
              </w:rPr>
              <w:t>[Reserved]</w:t>
            </w:r>
          </w:p>
        </w:tc>
        <w:tc>
          <w:tcPr>
            <w:tcW w:w="7420" w:type="dxa"/>
            <w:vAlign w:val="bottom"/>
            <w:gridSpan w:val="19"/>
          </w:tcPr>
          <w:p>
            <w:pPr>
              <w:spacing w:after="0"/>
              <w:rPr>
                <w:sz w:val="13"/>
                <w:szCs w:val="1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26</w:t>
            </w:r>
          </w:p>
        </w:tc>
      </w:tr>
      <w:tr>
        <w:trPr>
          <w:trHeight w:val="160"/>
        </w:trPr>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7:</w:t>
            </w:r>
          </w:p>
        </w:tc>
        <w:tc>
          <w:tcPr>
            <w:tcW w:w="80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26</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7"/>
              </w:rPr>
              <w:t>Item 7A:</w:t>
            </w:r>
          </w:p>
        </w:tc>
        <w:tc>
          <w:tcPr>
            <w:tcW w:w="460" w:type="dxa"/>
            <w:vAlign w:val="bottom"/>
            <w:gridSpan w:val="2"/>
          </w:tcPr>
          <w:p>
            <w:pPr>
              <w:spacing w:after="0"/>
              <w:rPr>
                <w:sz w:val="13"/>
                <w:szCs w:val="13"/>
                <w:color w:val="auto"/>
              </w:rPr>
            </w:pPr>
          </w:p>
        </w:tc>
        <w:tc>
          <w:tcPr>
            <w:tcW w:w="80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37</w:t>
            </w: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Item 8:</w:t>
            </w:r>
          </w:p>
        </w:tc>
        <w:tc>
          <w:tcPr>
            <w:tcW w:w="460" w:type="dxa"/>
            <w:vAlign w:val="bottom"/>
            <w:gridSpan w:val="2"/>
          </w:tcPr>
          <w:p>
            <w:pPr>
              <w:spacing w:after="0"/>
              <w:rPr>
                <w:sz w:val="13"/>
                <w:szCs w:val="13"/>
                <w:color w:val="auto"/>
              </w:rPr>
            </w:pPr>
          </w:p>
        </w:tc>
        <w:tc>
          <w:tcPr>
            <w:tcW w:w="26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760" w:type="dxa"/>
            <w:vAlign w:val="bottom"/>
            <w:gridSpan w:val="2"/>
          </w:tcPr>
          <w:p>
            <w:pPr>
              <w:spacing w:after="0"/>
              <w:rPr>
                <w:sz w:val="13"/>
                <w:szCs w:val="13"/>
                <w:color w:val="auto"/>
              </w:rPr>
            </w:pPr>
          </w:p>
        </w:tc>
        <w:tc>
          <w:tcPr>
            <w:tcW w:w="4660" w:type="dxa"/>
            <w:vAlign w:val="bottom"/>
            <w:gridSpan w:val="7"/>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w w:val="85"/>
              </w:rPr>
              <w:t>38</w:t>
            </w:r>
          </w:p>
        </w:tc>
      </w:tr>
      <w:tr>
        <w:trPr>
          <w:trHeight w:val="160"/>
        </w:trPr>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9:</w:t>
            </w:r>
          </w:p>
        </w:tc>
        <w:tc>
          <w:tcPr>
            <w:tcW w:w="80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38</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7"/>
              </w:rPr>
              <w:t>Item 9A:</w:t>
            </w:r>
          </w:p>
        </w:tc>
        <w:tc>
          <w:tcPr>
            <w:tcW w:w="460" w:type="dxa"/>
            <w:vAlign w:val="bottom"/>
            <w:gridSpan w:val="2"/>
          </w:tcPr>
          <w:p>
            <w:pPr>
              <w:spacing w:after="0"/>
              <w:rPr>
                <w:sz w:val="13"/>
                <w:szCs w:val="13"/>
                <w:color w:val="auto"/>
              </w:rPr>
            </w:pPr>
          </w:p>
        </w:tc>
        <w:tc>
          <w:tcPr>
            <w:tcW w:w="80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38</w:t>
            </w: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8"/>
              </w:rPr>
              <w:t>Item 9B:</w:t>
            </w:r>
          </w:p>
        </w:tc>
        <w:tc>
          <w:tcPr>
            <w:tcW w:w="460" w:type="dxa"/>
            <w:vAlign w:val="bottom"/>
            <w:gridSpan w:val="2"/>
          </w:tcPr>
          <w:p>
            <w:pPr>
              <w:spacing w:after="0"/>
              <w:rPr>
                <w:sz w:val="13"/>
                <w:szCs w:val="13"/>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5"/>
              </w:rPr>
              <w:t>Other Information</w:t>
            </w:r>
          </w:p>
        </w:tc>
        <w:tc>
          <w:tcPr>
            <w:tcW w:w="360" w:type="dxa"/>
            <w:vAlign w:val="bottom"/>
            <w:gridSpan w:val="2"/>
          </w:tcPr>
          <w:p>
            <w:pPr>
              <w:spacing w:after="0"/>
              <w:rPr>
                <w:sz w:val="13"/>
                <w:szCs w:val="13"/>
                <w:color w:val="auto"/>
              </w:rPr>
            </w:pPr>
          </w:p>
        </w:tc>
        <w:tc>
          <w:tcPr>
            <w:tcW w:w="6660" w:type="dxa"/>
            <w:vAlign w:val="bottom"/>
            <w:gridSpan w:val="14"/>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w w:val="85"/>
              </w:rPr>
              <w:t>39</w:t>
            </w: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8"/>
              </w:rPr>
              <w:t>Item 9C:</w:t>
            </w:r>
          </w:p>
        </w:tc>
        <w:tc>
          <w:tcPr>
            <w:tcW w:w="460" w:type="dxa"/>
            <w:vAlign w:val="bottom"/>
            <w:gridSpan w:val="2"/>
          </w:tcPr>
          <w:p>
            <w:pPr>
              <w:spacing w:after="0"/>
              <w:rPr>
                <w:sz w:val="13"/>
                <w:szCs w:val="13"/>
                <w:color w:val="auto"/>
              </w:rPr>
            </w:pPr>
          </w:p>
        </w:tc>
        <w:tc>
          <w:tcPr>
            <w:tcW w:w="80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40</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60" w:type="dxa"/>
            <w:vAlign w:val="bottom"/>
            <w:gridSpan w:val="7"/>
          </w:tcPr>
          <w:p>
            <w:pPr>
              <w:jc w:val="center"/>
              <w:ind w:right="3800"/>
              <w:spacing w:after="0"/>
              <w:rPr>
                <w:sz w:val="20"/>
                <w:szCs w:val="20"/>
                <w:color w:val="auto"/>
              </w:rPr>
            </w:pPr>
            <w:r>
              <w:rPr>
                <w:rFonts w:ascii="Times New Roman" w:cs="Times New Roman" w:eastAsia="Times New Roman" w:hAnsi="Times New Roman"/>
                <w:sz w:val="14"/>
                <w:szCs w:val="14"/>
                <w:b w:val="1"/>
                <w:bCs w:val="1"/>
                <w:color w:val="auto"/>
                <w:w w:val="99"/>
              </w:rPr>
              <w:t>Part III</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3"/>
        </w:trPr>
        <w:tc>
          <w:tcPr>
            <w:tcW w:w="940" w:type="dxa"/>
            <w:vAlign w:val="bottom"/>
            <w:gridSpan w:val="4"/>
          </w:tcPr>
          <w:p>
            <w:pPr>
              <w:spacing w:after="0" w:line="153" w:lineRule="exact"/>
              <w:rPr>
                <w:sz w:val="20"/>
                <w:szCs w:val="20"/>
                <w:color w:val="auto"/>
              </w:rPr>
            </w:pPr>
            <w:r>
              <w:rPr>
                <w:rFonts w:ascii="Times New Roman" w:cs="Times New Roman" w:eastAsia="Times New Roman" w:hAnsi="Times New Roman"/>
                <w:sz w:val="14"/>
                <w:szCs w:val="14"/>
                <w:color w:val="0000FF"/>
              </w:rPr>
              <w:t>Item 10:</w:t>
            </w:r>
          </w:p>
        </w:tc>
        <w:tc>
          <w:tcPr>
            <w:tcW w:w="8040" w:type="dxa"/>
            <w:vAlign w:val="bottom"/>
            <w:gridSpan w:val="22"/>
          </w:tcPr>
          <w:p>
            <w:pPr>
              <w:spacing w:after="0" w:line="153"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520" w:type="dxa"/>
            <w:vAlign w:val="bottom"/>
            <w:gridSpan w:val="3"/>
          </w:tcPr>
          <w:p>
            <w:pPr>
              <w:jc w:val="right"/>
              <w:ind w:right="20"/>
              <w:spacing w:after="0" w:line="153" w:lineRule="exact"/>
              <w:rPr>
                <w:sz w:val="20"/>
                <w:szCs w:val="20"/>
                <w:color w:val="auto"/>
              </w:rPr>
            </w:pPr>
            <w:r>
              <w:rPr>
                <w:rFonts w:ascii="Times New Roman" w:cs="Times New Roman" w:eastAsia="Times New Roman" w:hAnsi="Times New Roman"/>
                <w:sz w:val="14"/>
                <w:szCs w:val="14"/>
                <w:color w:val="0000FF"/>
              </w:rPr>
              <w:t>41</w:t>
            </w: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3"/>
              </w:rPr>
              <w:t>Item 11:</w:t>
            </w:r>
          </w:p>
        </w:tc>
        <w:tc>
          <w:tcPr>
            <w:tcW w:w="460" w:type="dxa"/>
            <w:vAlign w:val="bottom"/>
            <w:gridSpan w:val="2"/>
          </w:tcPr>
          <w:p>
            <w:pPr>
              <w:spacing w:after="0"/>
              <w:rPr>
                <w:sz w:val="13"/>
                <w:szCs w:val="13"/>
                <w:color w:val="auto"/>
              </w:rPr>
            </w:pPr>
          </w:p>
        </w:tc>
        <w:tc>
          <w:tcPr>
            <w:tcW w:w="14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w w:val="99"/>
              </w:rPr>
              <w:t>Executive Compensation</w:t>
            </w:r>
          </w:p>
        </w:tc>
        <w:tc>
          <w:tcPr>
            <w:tcW w:w="1840" w:type="dxa"/>
            <w:vAlign w:val="bottom"/>
            <w:gridSpan w:val="5"/>
          </w:tcPr>
          <w:p>
            <w:pPr>
              <w:spacing w:after="0"/>
              <w:rPr>
                <w:sz w:val="13"/>
                <w:szCs w:val="13"/>
                <w:color w:val="auto"/>
              </w:rPr>
            </w:pPr>
          </w:p>
        </w:tc>
        <w:tc>
          <w:tcPr>
            <w:tcW w:w="4780" w:type="dxa"/>
            <w:vAlign w:val="bottom"/>
            <w:gridSpan w:val="8"/>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w w:val="85"/>
              </w:rPr>
              <w:t>41</w:t>
            </w: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12:</w:t>
            </w:r>
          </w:p>
        </w:tc>
        <w:tc>
          <w:tcPr>
            <w:tcW w:w="80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41</w:t>
            </w: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13:</w:t>
            </w:r>
          </w:p>
        </w:tc>
        <w:tc>
          <w:tcPr>
            <w:tcW w:w="80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41</w:t>
            </w: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14:</w:t>
            </w:r>
          </w:p>
        </w:tc>
        <w:tc>
          <w:tcPr>
            <w:tcW w:w="80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41</w:t>
            </w:r>
          </w:p>
        </w:tc>
      </w:tr>
      <w:tr>
        <w:trPr>
          <w:trHeight w:val="188"/>
        </w:trPr>
        <w:tc>
          <w:tcPr>
            <w:tcW w:w="4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60" w:type="dxa"/>
            <w:vAlign w:val="bottom"/>
            <w:gridSpan w:val="7"/>
          </w:tcPr>
          <w:p>
            <w:pPr>
              <w:jc w:val="center"/>
              <w:ind w:right="380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36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r>
      <w:tr>
        <w:trPr>
          <w:trHeight w:val="153"/>
        </w:trPr>
        <w:tc>
          <w:tcPr>
            <w:tcW w:w="940" w:type="dxa"/>
            <w:vAlign w:val="bottom"/>
            <w:gridSpan w:val="4"/>
          </w:tcPr>
          <w:p>
            <w:pPr>
              <w:spacing w:after="0" w:line="153" w:lineRule="exact"/>
              <w:rPr>
                <w:sz w:val="20"/>
                <w:szCs w:val="20"/>
                <w:color w:val="auto"/>
              </w:rPr>
            </w:pPr>
            <w:r>
              <w:rPr>
                <w:rFonts w:ascii="Times New Roman" w:cs="Times New Roman" w:eastAsia="Times New Roman" w:hAnsi="Times New Roman"/>
                <w:sz w:val="14"/>
                <w:szCs w:val="14"/>
                <w:color w:val="0000FF"/>
              </w:rPr>
              <w:t>Item 15:</w:t>
            </w:r>
          </w:p>
        </w:tc>
        <w:tc>
          <w:tcPr>
            <w:tcW w:w="8040" w:type="dxa"/>
            <w:vAlign w:val="bottom"/>
            <w:gridSpan w:val="22"/>
          </w:tcPr>
          <w:p>
            <w:pPr>
              <w:spacing w:after="0" w:line="153" w:lineRule="exact"/>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520" w:type="dxa"/>
            <w:vAlign w:val="bottom"/>
            <w:gridSpan w:val="3"/>
          </w:tcPr>
          <w:p>
            <w:pPr>
              <w:jc w:val="right"/>
              <w:ind w:right="20"/>
              <w:spacing w:after="0" w:line="153" w:lineRule="exact"/>
              <w:rPr>
                <w:sz w:val="20"/>
                <w:szCs w:val="20"/>
                <w:color w:val="auto"/>
              </w:rPr>
            </w:pPr>
            <w:r>
              <w:rPr>
                <w:rFonts w:ascii="Times New Roman" w:cs="Times New Roman" w:eastAsia="Times New Roman" w:hAnsi="Times New Roman"/>
                <w:sz w:val="14"/>
                <w:szCs w:val="14"/>
                <w:color w:val="0000FF"/>
              </w:rPr>
              <w:t>42</w:t>
            </w: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55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16:</w:t>
            </w:r>
          </w:p>
        </w:tc>
        <w:tc>
          <w:tcPr>
            <w:tcW w:w="804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42</w:t>
            </w: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940" w:type="dxa"/>
            <w:vAlign w:val="bottom"/>
            <w:gridSpan w:val="4"/>
          </w:tcPr>
          <w:p>
            <w:pPr>
              <w:spacing w:after="0" w:line="141" w:lineRule="exact"/>
              <w:rPr>
                <w:sz w:val="20"/>
                <w:szCs w:val="20"/>
                <w:color w:val="auto"/>
              </w:rPr>
            </w:pPr>
            <w:r>
              <w:rPr>
                <w:rFonts w:ascii="Times New Roman" w:cs="Times New Roman" w:eastAsia="Times New Roman" w:hAnsi="Times New Roman"/>
                <w:sz w:val="14"/>
                <w:szCs w:val="14"/>
                <w:color w:val="0000FF"/>
              </w:rPr>
              <w:t>Signatures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0000FF"/>
                <w:w w:val="85"/>
              </w:rPr>
              <w:t>46</w:t>
            </w:r>
          </w:p>
        </w:tc>
      </w:tr>
      <w:tr>
        <w:trPr>
          <w:trHeight w:val="20"/>
        </w:trPr>
        <w:tc>
          <w:tcPr>
            <w:tcW w:w="1960" w:type="dxa"/>
            <w:vAlign w:val="bottom"/>
            <w:gridSpan w:val="10"/>
            <w:shd w:val="clear" w:color="auto" w:fill="0000FF"/>
          </w:tcPr>
          <w:p>
            <w:pPr>
              <w:spacing w:after="0" w:line="20" w:lineRule="exact"/>
              <w:rPr>
                <w:sz w:val="1"/>
                <w:szCs w:val="1"/>
                <w:color w:val="auto"/>
              </w:rPr>
            </w:pPr>
          </w:p>
        </w:tc>
        <w:tc>
          <w:tcPr>
            <w:tcW w:w="702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898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Consolidated Financial Statements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49</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Throughout this Annual Report on Form 10-K, we refer to FormFactor, Inc. and its consolidated subsidiaries as “the Company,” “FormFactor,” “we,” “us,” and “our.” Our fiscal year ends on the last Saturday in December. Our last three fiscal years ended on December 30, 2023, December 31, 2022 and December 25, 2021.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NOTE REGARDING FORWARD-LOOKING STATEMENTS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This Annual Report on Form 10-K contains forward-looking statements within the meaning of the Securities Exchange Act of 1934 and the Securities Act of 1933, which are subject to known and unknown risks and uncertainties. The forward-looking statements include statements concerning, among other things, our business strategy (including the influence of anticipated trends and developments in our business and the markets in which we operate), financial results, operating results, revenues, gross margins, liquidity, operating expenses, products, projected costs and capital expenditures, research and development programs, sales and marketing initiatives, competition, and the impact of accounting standards. In some cases, you can identify these statements by our use of forward-looking words, such as “may,” “might,” “will,” “could,” “should,” “expect,” “plan,” “anticipate,” “believe,” “estimate,” “predict,” “intend” and “continue,” the negative or plural of these words and other comparable terminology. Forward-looking statements are based on information available to us as of the filing date of this Annual Report on Form 10-K and our current expectations about future events, which are inherently subject to change and involve known and unknown risks and uncertainties. You should not place undue reliance on these forward-looking statements. We have no obligation to update any of these statements, and we assume no obligation to do so. Actual events or results may differ materially from those expressed or implied by these statements due to various factors, including but not limited to the matters discussed below in the section entitled “Item 1A: Risk Factors,” and elsewhere in this Annual Report on Form 10-K.</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operating results have fluctuated in the past and are likely to continue to fluctuate. You should not rely on period-to-period comparisons of our financial results as indicators of our future performance. Some of the important factors that could cause our revenues, operating results and outlook to fluctuate from period to period include:</w:t>
      </w:r>
    </w:p>
    <w:p>
      <w:pPr>
        <w:spacing w:after="0" w:line="145"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demand for and adoption of our products;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and competitive conditions in our industry, the semiconductor industry and the economy as a whole;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new technologies and product introductions by our competitors and by us;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work efficiently with our customers on their qualification of our new technologies and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deliver reliable, cost-effective products that meet our customers’ testing requirements in a timely manner;</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transition to new product architectures to solve next-generation semiconductor test and measurement challenges, and to bring new products into volume production on time and at acceptable yields and cost;</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implement measures for enabling efficiencies and supporting growth in our design, applications, manufacturing and other operational activities;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trade, tariff or export regulations in the markets where we produce or sell our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reduction, rescheduling or cancellation of orders by our customers;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collect accounts receivable owed by our customers;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 and customer sales mix and geographical sales mix;</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reductions in the prices or the profitability of our products due to competitive pressures or other factors;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timely availability or the cost of labor, components and materials utilized in our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efficiently optimize manufacturing capacity and production yields as necessary to meet customer demand and ramp variable production volumes at our manufacturing facilities;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intellectual property against infringement and continue our investment in research and development and design activities;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return on our investments in research and development;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disruption in the operation of our manufacturing facilities;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to the Company’s realization of benefits from acquisitions and investments in capacity and data systems;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factors impacting political and global economic stability, including natural disasters, pandemics, military conflicts, climate change, and other factors acting alone or in combination.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i w:val="1"/>
          <w:iCs w:val="1"/>
          <w:color w:val="auto"/>
        </w:rPr>
        <w:t>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FormFactor, Inc. is a leading provider of essential test and measurement technologies along the full semiconductor product lifecycle - from characterization, modeling, reliability, and design de-bug, to qualification and production test. We provide a broad range of high-performance probe cards, analytical probes, probe stations, metrology systems, thermal systems, and cryogenic systems to both semiconductor companies and scientific institutions. Our products provide electrical information from a variety of semiconductor and electro-optical devices and integrated circuits from early research, through development, to high-volume production. Customers use our products and services to accelerate profitability by optimizing device performance, reducing scrap, and improving yields.</w:t>
      </w:r>
    </w:p>
    <w:p>
      <w:pPr>
        <w:spacing w:after="0" w:line="3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Founded in 1993, we introduced our first product in 1995. From time to time, we have acquired businesses to help transform our business into a semiconductor test and measurement market leader with greater scale, diversification, breadth and market opportunities from Lab to Fab. We continue to evaluate opportunities to acquire businesses and technologies to further these goals.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30, 2023, we operate in two reportable segments consisting of the Probe Cards segment and the Systems segment. Sales of our probe cards and analytical probes are included in the Probe Cards segment, while sales of our probe stations, metrology systems, thermal systems and cryogenic systems are included in the Systems segment.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Products</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design, manufacture and sell multiple product lines, including probe cards, analytical probes, probe stations, metrology systems, thermal systems, cryogenic systems, and related services. On November 1, 2023, we completed the sale of our FRT Metrology business.</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Probe Cards. </w:t>
      </w:r>
      <w:r>
        <w:rPr>
          <w:rFonts w:ascii="Times New Roman" w:cs="Times New Roman" w:eastAsia="Times New Roman" w:hAnsi="Times New Roman"/>
          <w:sz w:val="14"/>
          <w:szCs w:val="14"/>
          <w:color w:val="auto"/>
        </w:rPr>
        <w:t>Our probe cards utilize a variety of technologies and product architectures, including micro-electromechanical systems (MEMS) technologies. We use advanced design and automation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technologies to enable rapid and cost-effective manufacturing of resilient composite contact elements with characteristic length scales of a few microns. These contact elements are designed to provide a specific range of forces on and across a chip’s bond pad, solder bump, micro-bump, through-silicon-via (TSV), or copper pillar, during the test process, and maintain their shape and position over a range of compression levels. In addition, while maintaining these mechanical characteristics, the contact elements must achieve reliable and high-fidelity electrical contact through wafer surfaces that are generally oxidized or otherwise contaminated, and must maintain these attributes over hundreds of thousands, and even millions, of compression cycles. Our range of capabilities enable us to rapidly produce customer-design specific probe cards that deliver leading precision, quality, reliability, and electro-mechanical performance.</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probe cards are customized for our customers’ unique wafer and chip designs by modifying and adapting our standard product architectures to meet an individual customer’s specific wafer and chip layouts and electrical test requirements. We offer probe cards to test a variety of semiconductor device types, including systems on a chip (SoCs), mobile application processors, microprocessors, quantum processors, microcontrollers, graphic processors, radio frequency, analog, mixed signal, image sensors, electro-optical, DRAM memory (including high-bandwidth memory, or “HBM”), NAND flash memory, NOR flash memory, and quantum computer processor devices.</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For many advanced applications, our products must maintain tens of thousands of simultaneous high-fidelity low-impedance electrical contacts with the corresponding chip contacts on the wafer. Our present technologies enable probe cards with over 100,000 contact elements with spacings as small as 40 microns over geometries as large as an entire 300mm wafer. In addition, for high signal-fidelity devices such as wireless radio frequency transceivers and automotive radar chips, our probe card technologies are capable of testing at millimeter-wave frequencies range, currently up to 81 GHz.</w:t>
      </w:r>
    </w:p>
    <w:p>
      <w:pPr>
        <w:spacing w:after="0" w:line="3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invested, and intend to continue to invest, considerable resources in proprietary probe card design tools and processes. These tools and processes are intended to enable the rapid and accurate customization of products required to meet customer requirements, including automated routing and trace length adjustment within our probe cards, to rapidly design complex structures.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some of our customers test certain chips over a large range of operating temperatures, such as for automotive and cryogenic applications. We design probe cards to provide for a precise match with the thermal expansion characteristics of the wafer under test across the range of test operating temperatures. For many of our products, our customers can use the same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auto"/>
        </w:rPr>
        <w:t>probe card for both low and high temperature testing. We also design probe cards for customers that require extreme positional accuracy at a specific temperature.</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Through ongoing investments in both our technology and operations, we continue to innovate and improve so that our products will meet customers’ future technical roadmap performance, quality, and commercial requirements. We also focus on leveraging these ongoing investments across all advanced probe card markets to realize synergies and economies of scale to benefit our competitiveness, time-to-market and overall profitability.</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Analytical Probes. </w:t>
      </w:r>
      <w:r>
        <w:rPr>
          <w:rFonts w:ascii="Times New Roman" w:cs="Times New Roman" w:eastAsia="Times New Roman" w:hAnsi="Times New Roman"/>
          <w:sz w:val="14"/>
          <w:szCs w:val="14"/>
          <w:color w:val="auto"/>
        </w:rPr>
        <w:t>We offer over 50 different analytical probe models for engineering and production testing. Analytical probes are used for a diverse set of applications, including device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characterization, electrical simulation model development, failure analysis, and prototype design debugging. Our customers for analytical probes include universities, research institutions, semiconductor integrated device manufacturers, semiconductor foundries, and fabless semiconductor companies. We continue to add new models of analytical probes that address measurements with higher complexities and at higher frequencies.</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Probe Stations. </w:t>
      </w:r>
      <w:r>
        <w:rPr>
          <w:rFonts w:ascii="Times New Roman" w:cs="Times New Roman" w:eastAsia="Times New Roman" w:hAnsi="Times New Roman"/>
          <w:sz w:val="14"/>
          <w:szCs w:val="14"/>
          <w:color w:val="auto"/>
        </w:rPr>
        <w:t>Probe stations, also referred to as probe systems, are a critical tool for the development of new generations of semiconductor and electro-optical processes and designs. Probe stations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highly configurable for the required measurements, the size and type of wafer under test, the characteristics of the device design to be tested, and the temperatures at which testing is to be performed. Process development and design complexities have continually increased with each new generation of semiconductor technology to accommodate smaller design geometries, complex 3-D architectures, new materials and more layers. Probe systems are a fundamental tool for characterizing and verifying electrical performance and reliability to enable new semiconductor technologies. We design our probe systems for semiconductor design engineers to capture and analyze more accurate data in a shorter amount of time and to be able to control and manage testing at temperatures from near absolute zero to hundreds of degrees centigrade.</w:t>
      </w:r>
    </w:p>
    <w:p>
      <w:pPr>
        <w:spacing w:after="0" w:line="1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build upon our probe stations to create integrated measurement systems that provide complete solutions for our customers’ complex measurement requirements. These systems include test instrumentation, probe, cabling configurations, and software to enable fast, accurate, on-wafer data collection for complex application and measurement needs. We offer pre-configured and customized measurement systems for production testing, power device characterization, vacuum probing, cryogenic probing, high-pressure probing, photonics testing, and a variety of other specific applications.</w:t>
      </w:r>
    </w:p>
    <w:p>
      <w:pPr>
        <w:spacing w:after="0" w:line="3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Metrology Systems. </w:t>
      </w:r>
      <w:r>
        <w:rPr>
          <w:rFonts w:ascii="Times New Roman" w:cs="Times New Roman" w:eastAsia="Times New Roman" w:hAnsi="Times New Roman"/>
          <w:sz w:val="14"/>
          <w:szCs w:val="14"/>
          <w:color w:val="auto"/>
        </w:rPr>
        <w:t>Until the sale of FRT in November 2023, we offered surface metrology systems for various applications including the development, production and quality control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semiconductor products. With resolution down to nanometer scales, these systems measured topography, structure, step height, roughness, wear, thickness variation, film thickness and other parameters. The modular architecture of the systems allowed for the sensor configuration to be customized for the application while leveraging a common platform. These systems integrated hybrid metrology capabilities and proprietary software to enable non-destructive and rapid measurement of multiple features and parameters simultaneously, which had multiple applications but is particularly useful in the growing space of advanced packaging, Silicon Carbide (SiC) power, Silicon Photonics, and MEMS applications.</w:t>
      </w:r>
    </w:p>
    <w:p>
      <w:pPr>
        <w:spacing w:after="0" w:line="1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Thermal Subsystems. </w:t>
      </w:r>
      <w:r>
        <w:rPr>
          <w:rFonts w:ascii="Times New Roman" w:cs="Times New Roman" w:eastAsia="Times New Roman" w:hAnsi="Times New Roman"/>
          <w:sz w:val="14"/>
          <w:szCs w:val="14"/>
          <w:color w:val="auto"/>
        </w:rPr>
        <w:t>Our thermal subsystems include thermal chucks and other test systems used in probe stations and other applications where precise temperature management is required. Thermal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chuck systems enable the testing of devices at precise temperatures or across a range of temperatures. These systems are both marketed externally and allow for vertical integration with our probe stations.</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Cryogenic Systems. </w:t>
      </w:r>
      <w:r>
        <w:rPr>
          <w:rFonts w:ascii="Times New Roman" w:cs="Times New Roman" w:eastAsia="Times New Roman" w:hAnsi="Times New Roman"/>
          <w:sz w:val="14"/>
          <w:szCs w:val="14"/>
          <w:color w:val="auto"/>
        </w:rPr>
        <w:t>Our cryogenic systems include the manufacture of precision cryogenic instruments and semiconductor test and measurement systems. These include advanced cryogenic probe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systems to test complete wafers or singulated die, as well as Dilution Refrigerator (DR) and Adiabatic Demagnetization Refrigerator (ADR) cryostats used in various applications at temperatures close to absolute zero, including quantum and superconducting computing applications, astronomy, and other situations where cryogenic temperature management is required. These systems are marketed externally and also allow for vertical integration with our existing cryogenic wafer and chip probe stations and cryogenic probes.</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Services and Support. </w:t>
      </w:r>
      <w:r>
        <w:rPr>
          <w:rFonts w:ascii="Times New Roman" w:cs="Times New Roman" w:eastAsia="Times New Roman" w:hAnsi="Times New Roman"/>
          <w:sz w:val="14"/>
          <w:szCs w:val="14"/>
          <w:color w:val="auto"/>
        </w:rPr>
        <w:t>In addition to routine installation services at the time of sale, we offer services to enable our customers to maintain and more effectively utilize our products and to enhance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customer relationships. Our applications engineers assist our customers in test methodologies to make advanced measurements during process and product development, and during mass production, along with offering traditional maintenance services.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Our customers include companies, universities and institutions that design or make semiconductor and semiconductor related products in the foundry &amp; logic, DRAM, flash, display, sensor and quantum computer markets. Our customers use our products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 w:name="page7"/>
    <w:bookmarkEnd w:id="6"/>
    <w:p>
      <w:pPr>
        <w:jc w:val="both"/>
        <w:spacing w:after="0" w:line="287" w:lineRule="auto"/>
        <w:rPr>
          <w:sz w:val="20"/>
          <w:szCs w:val="20"/>
          <w:color w:val="auto"/>
        </w:rPr>
      </w:pPr>
      <w:r>
        <w:rPr>
          <w:rFonts w:ascii="Times New Roman" w:cs="Times New Roman" w:eastAsia="Times New Roman" w:hAnsi="Times New Roman"/>
          <w:sz w:val="14"/>
          <w:szCs w:val="14"/>
          <w:color w:val="auto"/>
        </w:rPr>
        <w:t>to test nearly all semiconductor device types, including SoCs, mobile application processors, microprocessors, quantum processors, microcontrollers, graphic processors, radio frequency, analog, mixed signal, image sensors, electro-optical, DRAM memory (including HBM), NAND flash memory, NOR flash memory, and quantum computer processor devices.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Fabless semiconductor suppliers do not manufacture their own semiconductors, but they purchase our analytical probes, probe stations, and other System segment products for research and development, and device characterization. They also purchase, or direct their foundries or wafer test facilities to purchase, our probe cards to test wafers manufactured for them.</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believe our customers consider timely service and support to be an important aspect of our relationship as our products are critical elements of high-volume manufacturing and design-specific product ramps. Our probe stations are installed at customer sites either by us, our manufacturers’ representatives or our distributors, depending on the complexity of the installation and the customer’s geographic location. We assist our customers in the selection, integration and use of our products through application engineering support. We also provide worldwide on-site probe card maintenance and service training, seminars and telephone support. In certain geographic regions, and for selected products, our manufacturers’ representatives and distributors provide additional service and support.</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concerning revenue concentration by customer appears under Note 2 of the Notes to Consolidated Financial Statements included in Part II, Item 8 of this Annual Report on Form 10-K.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customers represented 10% or more of our quarterly revenues for the quarters indicated: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1"/>
                <w:szCs w:val="11"/>
                <w:b w:val="1"/>
                <w:bCs w:val="1"/>
                <w:color w:val="auto"/>
              </w:rPr>
              <w:t>Fiscal Quarters Ended</w:t>
            </w: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08"/>
        </w:trPr>
        <w:tc>
          <w:tcPr>
            <w:tcW w:w="3700" w:type="dxa"/>
            <w:vAlign w:val="bottom"/>
          </w:tcPr>
          <w:p>
            <w:pPr>
              <w:spacing w:after="0"/>
              <w:rPr>
                <w:sz w:val="9"/>
                <w:szCs w:val="9"/>
                <w:color w:val="auto"/>
              </w:rPr>
            </w:pPr>
          </w:p>
        </w:tc>
        <w:tc>
          <w:tcPr>
            <w:tcW w:w="960" w:type="dxa"/>
            <w:vAlign w:val="bottom"/>
            <w:gridSpan w:val="2"/>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Dec. 30,</w:t>
            </w:r>
          </w:p>
        </w:tc>
        <w:tc>
          <w:tcPr>
            <w:tcW w:w="960" w:type="dxa"/>
            <w:vAlign w:val="bottom"/>
            <w:gridSpan w:val="2"/>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Sep. 30,</w:t>
            </w:r>
          </w:p>
        </w:tc>
        <w:tc>
          <w:tcPr>
            <w:tcW w:w="960" w:type="dxa"/>
            <w:vAlign w:val="bottom"/>
            <w:gridSpan w:val="2"/>
          </w:tcPr>
          <w:p>
            <w:pPr>
              <w:ind w:left="280"/>
              <w:spacing w:after="0" w:line="108" w:lineRule="exact"/>
              <w:rPr>
                <w:sz w:val="20"/>
                <w:szCs w:val="20"/>
                <w:color w:val="auto"/>
              </w:rPr>
            </w:pPr>
            <w:r>
              <w:rPr>
                <w:rFonts w:ascii="Times New Roman" w:cs="Times New Roman" w:eastAsia="Times New Roman" w:hAnsi="Times New Roman"/>
                <w:sz w:val="11"/>
                <w:szCs w:val="11"/>
                <w:b w:val="1"/>
                <w:bCs w:val="1"/>
                <w:color w:val="auto"/>
              </w:rPr>
              <w:t>Jul. 1,</w:t>
            </w:r>
          </w:p>
        </w:tc>
        <w:tc>
          <w:tcPr>
            <w:tcW w:w="960" w:type="dxa"/>
            <w:vAlign w:val="bottom"/>
            <w:gridSpan w:val="2"/>
          </w:tcPr>
          <w:p>
            <w:pPr>
              <w:ind w:left="260"/>
              <w:spacing w:after="0" w:line="108" w:lineRule="exact"/>
              <w:rPr>
                <w:sz w:val="20"/>
                <w:szCs w:val="20"/>
                <w:color w:val="auto"/>
              </w:rPr>
            </w:pPr>
            <w:r>
              <w:rPr>
                <w:rFonts w:ascii="Times New Roman" w:cs="Times New Roman" w:eastAsia="Times New Roman" w:hAnsi="Times New Roman"/>
                <w:sz w:val="11"/>
                <w:szCs w:val="11"/>
                <w:b w:val="1"/>
                <w:bCs w:val="1"/>
                <w:color w:val="auto"/>
              </w:rPr>
              <w:t>Apr. 1,</w:t>
            </w:r>
          </w:p>
        </w:tc>
        <w:tc>
          <w:tcPr>
            <w:tcW w:w="980" w:type="dxa"/>
            <w:vAlign w:val="bottom"/>
            <w:gridSpan w:val="2"/>
          </w:tcPr>
          <w:p>
            <w:pPr>
              <w:ind w:left="240"/>
              <w:spacing w:after="0" w:line="108" w:lineRule="exact"/>
              <w:rPr>
                <w:sz w:val="20"/>
                <w:szCs w:val="20"/>
                <w:color w:val="auto"/>
              </w:rPr>
            </w:pPr>
            <w:r>
              <w:rPr>
                <w:rFonts w:ascii="Times New Roman" w:cs="Times New Roman" w:eastAsia="Times New Roman" w:hAnsi="Times New Roman"/>
                <w:sz w:val="11"/>
                <w:szCs w:val="11"/>
                <w:b w:val="1"/>
                <w:bCs w:val="1"/>
                <w:color w:val="auto"/>
              </w:rPr>
              <w:t>Dec. 31,</w:t>
            </w:r>
          </w:p>
        </w:tc>
        <w:tc>
          <w:tcPr>
            <w:tcW w:w="960" w:type="dxa"/>
            <w:vAlign w:val="bottom"/>
            <w:gridSpan w:val="2"/>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Sep. 24,</w:t>
            </w:r>
          </w:p>
        </w:tc>
        <w:tc>
          <w:tcPr>
            <w:tcW w:w="960" w:type="dxa"/>
            <w:vAlign w:val="bottom"/>
            <w:gridSpan w:val="2"/>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Jun. 25,</w:t>
            </w:r>
          </w:p>
        </w:tc>
        <w:tc>
          <w:tcPr>
            <w:tcW w:w="840" w:type="dxa"/>
            <w:vAlign w:val="bottom"/>
          </w:tcPr>
          <w:p>
            <w:pPr>
              <w:jc w:val="right"/>
              <w:ind w:right="153"/>
              <w:spacing w:after="0" w:line="108" w:lineRule="exact"/>
              <w:rPr>
                <w:sz w:val="20"/>
                <w:szCs w:val="20"/>
                <w:color w:val="auto"/>
              </w:rPr>
            </w:pPr>
            <w:r>
              <w:rPr>
                <w:rFonts w:ascii="Times New Roman" w:cs="Times New Roman" w:eastAsia="Times New Roman" w:hAnsi="Times New Roman"/>
                <w:sz w:val="11"/>
                <w:szCs w:val="11"/>
                <w:b w:val="1"/>
                <w:bCs w:val="1"/>
                <w:color w:val="auto"/>
              </w:rPr>
              <w:t>Mar. 26,</w:t>
            </w:r>
          </w:p>
        </w:tc>
      </w:tr>
      <w:tr>
        <w:trPr>
          <w:trHeight w:val="153"/>
        </w:trPr>
        <w:tc>
          <w:tcPr>
            <w:tcW w:w="37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Intel Corporation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16.7 %</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17.1 %</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16.5 %</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20.9 %</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20.8 %</w:t>
            </w:r>
          </w:p>
        </w:tc>
      </w:tr>
      <w:tr>
        <w:trPr>
          <w:trHeight w:val="180"/>
        </w:trPr>
        <w:tc>
          <w:tcPr>
            <w:tcW w:w="3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SK hynix Inc.</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Samsung Electronics Co., LTD.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Taiwan Semiconductor Manufacturing Co., LTD.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10.7 %</w:t>
            </w:r>
          </w:p>
        </w:tc>
      </w:tr>
      <w:tr>
        <w:trPr>
          <w:trHeight w:val="196"/>
        </w:trPr>
        <w:tc>
          <w:tcPr>
            <w:tcW w:w="37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27.4 %</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28.3 %</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16.5 %</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27.7 %</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20.9 %</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31.5 %</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Less than 10% of 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probe cards are designed for each of our customers' unique designs, by modifying and adapting our product architectures to meet an individual customer’s chip layout and test requirements. Our proprietary manufacturing processes for our probe cards include a complex interconnection system-level design process; a front-end process, which may include wire bonding, photolithography, plating and metallurgical processes, dry and electro-deposition, and pick and place assembly; and a back-end process, which includes general assembly and test. Critical steps in our manufacturing process are performed in a variety of clean room environments as stringent as a Class 100, depending on the requirements of the specific manufacturing processes.</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probe stations are designed to provide highly accurate electrical and optical measurements enabled by precise and reliable mechanical components and assemblies. We prototype and perform robust testing of our product designs and components to ensure high electrical signal integrity, mechanical accuracy and safety. We also monitor our product quality throughout the various stages of our manufacturing processes using a variety of process control methods and tests.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depend on suppliers for materials and some critical components of our manufacturing processes, including ceramic and organic substrates and complex printed circuit boards. We also rely on suppliers to provide certain contact elements and interconnects that are incorporated into our products. Some of these components and materials are supplied by a single vendor, and some are subject to certain minimum order quantities. Generally, we rely on purchase orders rather than long-term contracts with our suppliers, which subjects us to risks, including price increases, manufacturing capacity constraints and component shortages. We regularly assess and evaluate alternative sources of supply for all components and materials.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primary manufacturing facilities are located in Livermore, Carlsbad, and Baldwin Park, California; Beaverton, Oregon; Boulder, Colorado; and Woburn, Massachusetts, all in the United States; and in Thiendorf and Munich, Germany. We also have smaller manufacturing operations in Suzhou, China and Yokohama, Japan.</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maintain repair and service capabilities in Livermore, Carlsbad, and Baldwin Park, California and Beaverton, Oregon, United States; Thiendorf, Dresden and Munich Germany; Bundang, South Korea; Yokohama and Hiroshima, Japan; Suzhou and Shanghai, China; Hsinchu, Taiwan; and Singapore.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 w:name="page8"/>
    <w:bookmarkEnd w:id="7"/>
    <w:p>
      <w:pPr>
        <w:jc w:val="both"/>
        <w:spacing w:after="0" w:line="287" w:lineRule="auto"/>
        <w:rPr>
          <w:sz w:val="20"/>
          <w:szCs w:val="20"/>
          <w:color w:val="auto"/>
        </w:rPr>
      </w:pPr>
      <w:r>
        <w:rPr>
          <w:rFonts w:ascii="Times New Roman" w:cs="Times New Roman" w:eastAsia="Times New Roman" w:hAnsi="Times New Roman"/>
          <w:sz w:val="14"/>
          <w:szCs w:val="14"/>
          <w:color w:val="auto"/>
        </w:rPr>
        <w:t>In February 2024, we entered into an agreement with Grand Junction Semiconductor Pte. Ltd. to divest our operations in China and establish an exclusive distribution and partnership agreement to continue sales and support of our products in the region (the “China Transaction”). The China Transaction is expected to close in the first half of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Development and Engineering</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semiconductor industry is subject to rapid technological change with a continuous stream of new product introductions and technology enhancements. We believe that our continued commitment to research and development and our timely introduction of new and enhanced products and technologies are integral to maintaining and enhancing our competitive position. We allocate significant resources to these efforts and prioritize those resources to prepare for our customers’ next generation electrical test and measurement challenges. We also increasingly seek to deploy our resources to solve fundamental challenges that are both common to, and provide competitive advantage across, our probe card and system product offerings and roadmaps.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sell our products worldwide through a global direct sales force and through a combination of manufacturers’ representatives and distributors.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direct sales and marketing staff is located in the United States, China (pending the close of the China Transaction), France, Germany, Italy, United Kingdom, Japan, Singapore, South Korea, and Taiwan. They work closely with customers in the effort to understand their businesses, anticipate trends and define products that will provide significant technical and economic advantages to our customers. We employ a highly skilled team of application and customer support engineers that support our customers as they integrate our products into their research, development and manufacturing processes. Through these customer relationships, we seek to develop a strong understanding of customer and product requirements to align our capabilities with our customers’ roadmaps and production ramps.</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also have a network of representatives and distributors across the globe to broaden our reach. We engage sales representatives to act as independent third parties that agree to promote our products, at our prices and on terms set by us, in return for a commission based on sales. We typically use sales representatives in areas that we believe require greater levels of customer support than we can deliver from our own sales offices and where local language capabilities can offer an advantage. Our distributors purchase our products and resell them at prices and upon terms set by the particular distributor. We typically use distributors in particular geographies due to local regulations or business customs.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Governmental Regulations</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are subject to international, federal, state and local regulations that are customary to businesses in our industry. These regulations relate to, among other things, environmental matters, anti-corruption, marketing, fraud and abuse, trade, employment, and privacy.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Environmental Matters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are subject to U.S. federal, state, local, and foreign governmental laws and regulations relating to the protection of the environment, including those governing the discharge of pollutants into the air and water, the management and disposal of hazardous substances and wastes, the clean-up of contaminated sites and the maintenance of a safe workplace. We believe that we comply in all material respects with the environmental laws and regulations that apply to us as of December 30, 2023. There are no matters pending that we currently believe are reasonably possible of having a material impact to our business, consolidated financial condition, results of operations or cash flows. In the future, we may receive notices of violations of environmental regulations, or otherwise learn of such violations. Environmental contamination or violations may negatively impact our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Import and Export Control</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manufacture, market and sell our products both inside and outside the U.S. Certain products are subject to export control regulations. Failure to comply with these laws could result in sanctions by the U.S. or other respective governments, including substantial monetary penalties, denial of import, export or other privileges, and debarment from government contracts. Approximately 14% of our fiscal 2023 revenue and 22% of our fiscal 2022 revenue was derived from sales to customers in China, which were subject to the expanded export license requirements imposed by the United States government. The revenue derived from large multinational customers with a presence in China represented 5% of fiscal 2023 revenue, with the remaining 9% representing regional customers in China. As noted above, we have entered into an agreement to divest our China operations, which is expected to close in the first half of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markets for our products are highly competitive, and we anticipate that these markets will continually evolve and be subject to rapid technological change. Our current and potential competitors are as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8" w:name="page9"/>
    <w:bookmarkEnd w:id="8"/>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Probe Cards. </w:t>
      </w:r>
      <w:r>
        <w:rPr>
          <w:rFonts w:ascii="Times New Roman" w:cs="Times New Roman" w:eastAsia="Times New Roman" w:hAnsi="Times New Roman"/>
          <w:sz w:val="14"/>
          <w:szCs w:val="14"/>
          <w:color w:val="auto"/>
        </w:rPr>
        <w:t>The probe card market is comprised of many domestic and foreign companies, and has historically been fragmented with many local suppliers servicing individual customers in often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differentiated applications. Our primary competitors are AMST Co., Ltd., Chungwa Precision Technology, Feinmetall GmbH, Japan Electronic Materials Corporation, Korea Instrument Co., Ltd., M2N Co., Ltd., Microfriend Inc., Micronics Japan Co., Ltd., MPI Corporation, Micro Square Technology Inc., NHK Spring Co., Ltd., Soulbrain Engineering, Nidec SV TCL, Synergie CAD, TechnoProbe S.p.A, TSE Co., Ltd., WinWay Technology Co., Ltd., WILL-Technology Co., Ltd., and Yokowo, among others.</w:t>
      </w:r>
    </w:p>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Probe card vendors such as Japan Electronic Materials Corporation, Micronics Japan Co., and TechnoProbe offer probe cards built using similar types of MEMS technology as we do. The high capital investment and other costs associated with the development of MEMS probe cards and the time and high cost of the customer evaluation process represent significant barriers to entry for this type of technology.</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believe that the primary competitive factors in the production probe card market depend upon the type of integrated circuit being tested, and include customer service, knowledge of measurement techniques, delivery time, price, probe card lifetime, chip damage prevention, probe tip touch-down accuracy, electrical signal speed and current carrying capability of the probe card, number of chips contacted in parallel, number of probe tips and their layout and pitch, signal integrity, and frequency and effectiveness of any required cleaning. As a result of our relative strengths in these areas, we believe that we compete favorably in the advanced probe card market, and in probe cards for parallel testing of chips with densely-packed bond pads, bumps or pillars, and in high signal integrity testing of wireless radio frequency devices that operate up to millimeter-wave frequencies, a capability needed for components used in 5G applications.</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Analytical Probes. </w:t>
      </w:r>
      <w:r>
        <w:rPr>
          <w:rFonts w:ascii="Times New Roman" w:cs="Times New Roman" w:eastAsia="Times New Roman" w:hAnsi="Times New Roman"/>
          <w:sz w:val="14"/>
          <w:szCs w:val="14"/>
          <w:color w:val="auto"/>
        </w:rPr>
        <w:t>Our primary competitors in the analytical probe market are GGB Industries Inc. and MPI Corporation. We believe that the primary competitive factors in this market are breadth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probe types, probe frequency and electrical signal integrity, contact integrity and the related cleaning required, knowledge of measurement techniques, calibration support, delivery time and price. We believe that we compete favorably with respect to these factors.</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Probe Stations. </w:t>
      </w:r>
      <w:r>
        <w:rPr>
          <w:rFonts w:ascii="Times New Roman" w:cs="Times New Roman" w:eastAsia="Times New Roman" w:hAnsi="Times New Roman"/>
          <w:sz w:val="14"/>
          <w:szCs w:val="14"/>
          <w:color w:val="auto"/>
        </w:rPr>
        <w:t>Our primary competitors in the probe station market are HiSOL, Inc., LTD/Accretech, The Micromanipulator Company Inc., MPI Corporation, Semiprobe, Signatone Corporation,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Tokyo Electron (“TEL”), Tokyo Seimitsu Co., and Wentworth Laboratories Inc. We believe that the primary competitive factors in the probe station market are measurement accuracy and versatility at temperature, including cryogenic temperatures, measurement speed, automation features, knowledge of measurement techniques, completeness of the measurement solutions, delivery time and price. We believe that we compete favorably with respect to these factors.</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Thermal Subsystems. </w:t>
      </w:r>
      <w:r>
        <w:rPr>
          <w:rFonts w:ascii="Times New Roman" w:cs="Times New Roman" w:eastAsia="Times New Roman" w:hAnsi="Times New Roman"/>
          <w:sz w:val="14"/>
          <w:szCs w:val="14"/>
          <w:color w:val="auto"/>
        </w:rPr>
        <w:t>In the market for thermal subsystems, we compete principally against ERS Electronic GmbH, Espec Corp, and Temptronic Corporation. In addition, many of our probe station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competitors develop and produce their own thermal subsystems for use in their products. We believe the primary competitive factors in this market are thermal performance, reliability, flexibility and completeness of product offerings. We believe that we compete favorably with respect to these factors.</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Cryogenic Systems. </w:t>
      </w:r>
      <w:r>
        <w:rPr>
          <w:rFonts w:ascii="Times New Roman" w:cs="Times New Roman" w:eastAsia="Times New Roman" w:hAnsi="Times New Roman"/>
          <w:sz w:val="14"/>
          <w:szCs w:val="14"/>
          <w:color w:val="auto"/>
        </w:rPr>
        <w:t>In the market for cryogenic systems, we compete principally against Bluefors Oy, Entropy, Leiden Cryogenics B.V., Montana Instruments, Nagase Techno-Engineering Co.,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Oxford Instruments, and STAR Cryoelectronics. We believe the primary competitive factors in this market are cryogenic performance, reliability, throughput and application expertise. We believe we compete favorably with respect to these factors.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Some of our competitors are also suppliers of other types of test and measurement equipment or other semiconductor equipment and may have greater financial and other resources than we do. Our competitors may enhance their current products and may introduce new products that will be competitive with ours. New alternatives to our products may also be introduced, by our current competitors or others, which may reduce the value of one or more of our products.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Semiconductor manufacturers may implement chip designs that include capabilities or use other methodologies that increase test throughput and reduce test content. This may reduce or eliminate some or all of our current products’ advantages. Semiconductor manufacturers may also increase their use of test strategies that include low performance semiconductor testers, less complex probe cards, or test procedures that do not involve our products. Our ability to compete favorably may also be adversely affected by the long-standing relationships between our competitors and certain semiconductor manufacturers.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Our success depends in part upon our ability to continue to innovate and invest in research and development to meet the test and measurement requirements of our customers, to maintain and protect our proprietary technology, and to conduct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9" w:name="page10"/>
    <w:bookmarkEnd w:id="9"/>
    <w:p>
      <w:pPr>
        <w:jc w:val="both"/>
        <w:spacing w:after="0" w:line="287" w:lineRule="auto"/>
        <w:rPr>
          <w:sz w:val="20"/>
          <w:szCs w:val="20"/>
          <w:color w:val="auto"/>
        </w:rPr>
      </w:pPr>
      <w:r>
        <w:rPr>
          <w:rFonts w:ascii="Times New Roman" w:cs="Times New Roman" w:eastAsia="Times New Roman" w:hAnsi="Times New Roman"/>
          <w:sz w:val="14"/>
          <w:szCs w:val="14"/>
          <w:color w:val="auto"/>
        </w:rPr>
        <w:t>without infringing on the proprietary rights of others. We rely on a combination of patents, trade secrets, trademarks and contractual restrictions on disclosure to protect our intellectual property rights. We have filed actions to enforce those rights against third parties in the past, and may pursue such actions in the future.</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generated, and continue to generate and maintain, patents and other intellectual property rights covering innovations that are intended to create a competitive advantage, and to support the protection of our investments in research and development. We believe that we possess one of the most substantial patent portfolios relevant to our products.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Although we believe that our patents and other intellectual property rights have significant value for each of our segments, we do not believe that maintaining or growing our business is materially dependent on any single patent. Due to the rapid pace of innovation within the markets that we serve, it is possible that our protection through patents may be less important than factors such as our technological expertise, continuing development of new products and technologies, protection of trade secrets, market penetration, customer relationships, and our ability to provide comprehensive support and service to customers worldwide.</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No assurance can be given that patents will not be challenged, invalidated or circumvented, or that the rights granted thereunder will provide us with a sustained competitive advantage. In addition, there can be no assurance that we will be able to protect our technology, or that competitors will not be able to independently develop similar or functionally competitive technologies, design around our patents, or attempt to manufacture and sell infringing products in countries that do not strongly enforce intellectual property rights.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People</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believe that each employee contributes to our culture of integrity, innovation, and teamwork. We reinforce this culture through our people development programs that drive talent acquisition, retention and employee engagement. These programs include carefully designed compensation programs across all levels, a variety of training, diversity and inclusion programs, and other initiatives.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compensation programs help attract and retain key talent and are designed for our employees to share in our company’s success. These programs focus on compensation that we believe is market-competitive, reflects company performance, and aligns with drivers of stockholder value with differentiation based on performance, skills, geographic location, and tenure. We use information from outside compensation and benefits consulting firms to evaluate the competitiveness of the compensation we offer to employees in specific job types, and to evaluate the structure of our compensation programs, as a benchmark against our peers within the industry.</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offer a variety of benefits such as health insurance, paid and unpaid leaves, retirement, and life and disability/accident coverage as applicable to their geographic location. We also offer a variety of other benefits which allow employees to select the options which meet their needs such as for wellness, insurance and professional services.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training initiatives promote the continuous improvement of our workforce to keep pace with an increasingly complex business and industry, and are designed to foster skills development and compliance and promote our company values. In addition to formal training, the capabilities of our workforce are intended to grow through structured feedback, mentorship, team building, career progression, tuition assistance, and a culture of transparency.</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leverage both formal and informal programs to identify, reward, and retain top talent. On an annual basis, we conduct a talent review process with our Chief Executive Officer and leaders of our business units and functions that is focused on performance, potential, diversity, and succession for critical roles.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commitment to diversity and inclusion is a significant part of our people development programs. We believe that the recruitment, retention and promotion of a balanced workforce is an important driver of company performance. We support these values through sponsored events, networking groups, and management objectives. As an equal opportunity employer, we develop and implement an annual and targeted affirmative action plan.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inspire employee engagement through our commitment to corporate social responsibility, including in defined focus areas of sustainable technology, health and safety, labor and human rights, energy and climate change, supply chain responsibility, and waste and chemical management.</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workplace health and safety programs include policies, procedures, training programs, and self-audits. Nearly all of our manufacturing employees are located in California, Oregon and Germany, where workplace safety and labor regulations support maintaining high standards of employee protection.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4"/>
          <w:szCs w:val="14"/>
          <w:color w:val="auto"/>
        </w:rPr>
        <w:t>For our manufacturing activities, the speed at which we can recruit, train and deploy quality new and replacement personnel is an important part of our ability to ramp up and maintain our production capacity. We rely upon both employees and resources from staffing firms to meet our needs for direct labor. Speed, accuracy and agility in this process is important to our business. Similarly, it is important to our business that we are able to regularly recruit and train quality new and replacement design and engineering staff. For example, our probe card products require that we develop custom designs for our customers’ new product designs. We face strong competition from companies in a variety of technology fields to secure the engineering talent that we require. In addition, restrictions on immigration and skilled-worker visas in a variety of jurisdictions impacts the ease and flexibility with which we can develop these resources.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30, 2023, we had 2,115 regular full-time employees, including 1,225 in operations, 425 in research and development, 276 in sales and marketing and 189 in general and administrative functions. By region, 1,469 of our employees were in North America, 391 in Asia, and 255 in Europe. As of December 30, 2023, our Probe Cards Segment had 1,565 regular full-time employees, our Systems Segment had 362 regular full-time employees, plus we had 188 regular full-time employees in corporate functions.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We maintain a website at </w:t>
      </w:r>
      <w:r>
        <w:rPr>
          <w:rFonts w:ascii="Times New Roman" w:cs="Times New Roman" w:eastAsia="Times New Roman" w:hAnsi="Times New Roman"/>
          <w:sz w:val="14"/>
          <w:szCs w:val="14"/>
          <w:i w:val="1"/>
          <w:iCs w:val="1"/>
          <w:color w:val="auto"/>
        </w:rPr>
        <w:t>http://www.formfactor.com</w:t>
      </w:r>
      <w:r>
        <w:rPr>
          <w:rFonts w:ascii="Times New Roman" w:cs="Times New Roman" w:eastAsia="Times New Roman" w:hAnsi="Times New Roman"/>
          <w:sz w:val="14"/>
          <w:szCs w:val="14"/>
          <w:color w:val="auto"/>
        </w:rPr>
        <w:t>. We make available free of charge on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United State Securities and Exchange Commission, or SEC. The reference to our website does not constitute incorporation by reference of the information contained at the site.</w:t>
      </w:r>
    </w:p>
    <w:p>
      <w:pPr>
        <w:spacing w:after="0" w:line="16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4"/>
          <w:szCs w:val="14"/>
          <w:b w:val="1"/>
          <w:bCs w:val="1"/>
          <w:i w:val="1"/>
          <w:iCs w:val="1"/>
          <w:color w:val="auto"/>
        </w:rPr>
        <w:t>Risk Factors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to the other information in this Annual Report on Form 10-K, you should carefully consider the risk factors discussed in this Annual Report on Form 10-K in evaluating FormFactor and our business. If any of the identified risks actually occur, our business, financial condition and results of operations could be materially adversely affected, the trading price of our common stock could decline, and you may lose all or part of your investment in our common stock. The risks and uncertainties described in this Annual Report on Form 10-K are not the only ones we face. Additional risks that we currently do not know about, or that we do not consider sufficiently important to describe here in accordance with applicable regulations, may also impair our business operations or the trading price of our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Relating to our Operations and the Nature of Our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markets in which we participate are competitive, and if we do not compete effectively, our operating results could be harmed.</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have experienced increased competition in the markets in which we operate, and we expect competition to intensify in the future. Increased competition has resulted in, and in the future may result in, price reductions, reduced gross margins or loss of market share.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Existing competitors might introduce new competitive products for the same markets that our products currently serve. These products may have better performance, lower prices, shorter delivery times or broader acceptance than our products.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new competitors, including test equipment manufacturers, may offer comparable or new technologies that reduce the value of our products. Also, semiconductor manufacturers may implement chip designs or methodologies that increase test throughput, reduce test content, or change their test procedures, thereby eliminating some or all of our current product advantages.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current or potential competitors may have larger customer bases, more established customer relationships or greater financial, technical, manufacturing, marketing and other resources than we do. As a result, they might be able to respond more quickly to new or emerging technologies and changes in customer requirements, devote greater resources to the development, promotion, sale and support of their products, and reduce prices to increase market share.</w:t>
      </w:r>
    </w:p>
    <w:p>
      <w:pPr>
        <w:spacing w:after="0" w:line="15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If we do not innovate and keep pace with technological developments in the semiconductor industry, our products might not be competitive, and our revenues and operating results could suffer. </w:t>
      </w:r>
      <w:r>
        <w:rPr>
          <w:rFonts w:ascii="Times New Roman" w:cs="Times New Roman" w:eastAsia="Times New Roman" w:hAnsi="Times New Roman"/>
          <w:sz w:val="14"/>
          <w:szCs w:val="14"/>
          <w:color w:val="auto"/>
        </w:rPr>
        <w:t>We must continue to innovate and to invest in research and development to improve our competitive position and to meet the test and measurement requirements of our customers. Our future growth depends, in significant part, upon our ability to work effectively with and anticipate the future technical and operational needs of our customers and to develop and support new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11" w:name="page12"/>
    <w:bookmarkEnd w:id="11"/>
    <w:p>
      <w:pPr>
        <w:jc w:val="both"/>
        <w:spacing w:after="0" w:line="264" w:lineRule="auto"/>
        <w:rPr>
          <w:sz w:val="20"/>
          <w:szCs w:val="20"/>
          <w:color w:val="auto"/>
        </w:rPr>
      </w:pPr>
      <w:r>
        <w:rPr>
          <w:rFonts w:ascii="Times New Roman" w:cs="Times New Roman" w:eastAsia="Times New Roman" w:hAnsi="Times New Roman"/>
          <w:sz w:val="14"/>
          <w:szCs w:val="14"/>
          <w:color w:val="auto"/>
        </w:rPr>
        <w:t>products and product enhancements to meet those needs on a timely and cost-effective basis. This may become more difficult to do as the semiconductor industry innovates to address demand for AI-related products, which may develop more slowly than we anticipate or change from one period to another. Our customers’ needs are becoming more challenging as the semiconductor industry continues to experience rapid technological change driven by the demand for complex circuits that are shrinking in size, are increasing in speed and functionality, and are produced on shorter cycle times and at reduced unit cost.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Successful product design, development and introduction on a timely basis require that we:</w:t>
      </w:r>
    </w:p>
    <w:p>
      <w:pPr>
        <w:spacing w:after="0" w:line="200"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collaborate with customers to understand their future requirements;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 innovative and performance-enhancing product architectures, technologies and features that differentiate our products from those of our competitors;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some cases, engage with third parties who have particular expertise in order to complete one or more aspects of the design and manufacturing process;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qualify with customers new products, or an existing product incorporating new technology;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transition our products to new manufacturing technologies, as necessary;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our products for sale at competitive price levels while maintaining our gross margins within our financial model;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emerging technological trends in our target markets;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effective marketing strategies;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and maintain intellectual property rights where necessary;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and retain high performing engineering personnel;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respond effectively to technological changes or product announcements by others;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 to changing market conditions quickly and cost-effectively.</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Not only do we need the technical expertise to implement the changes necessary to keep our technologies current, but we must also rely heavily on the judgment of our management to anticipate future market trends. If we are unable to timely predict industry changes or industry trends, or if we are unable to modify our products or design, manufacture and deliver new products on a timely basis, or if a third party with which we engage does not timely deliver a component or service for one of our product modifications or new products, we might lose customers or market share. In addition, we might not be able to recover our research and development expenditures, which could harm our operating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upon the sale of our probe card products for the substantial majority of our revenues.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derive the majority of our revenues from the sale of our probe card products, primarily to manufacturers of microprocessors, foundry &amp; logic and memory devices, despite progress in diversifying our product offerings. We anticipate that sales of probe cards will represent a substantial majority of our revenues for the foreseeable future. Our success depends in large part upon the continued acceptance of our products on the basis of a variety of factors including performance, quality, timely delivery and price, and depends upon our ability to continue to develop and introduce new products that meet our customers’ requirements. The degree to which we depend upon the sales of our probe card products for our revenues may increase our susceptibility to failures to satisfy the customers for such products, which may adversely affect our revenues and our ability to grow our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derive a substantial portion of our revenues from a small number of customers.</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 relatively small number of customers account for a significant portion of our revenues. One customer represented 17.1% of total revenues in fiscal 2023, one customer represented 19.0% of total revenues in fiscal 2022 and two customers represented a combined 31.8% of total revenues in fiscal 2021. We anticipate that sales of our products to a relatively small number of customers will continue to account for a significant portion of our revenues, which can drive material fluctuations in sales volume, gross margins due to changes in mix, and leverage on fixed costs. Consolidation in the semiconductor industry may increase this concentration. In the future, the loss of any of these customers, or cancellation, reduction or deferral of even a small number of purchases of our products by these customers, could significantly reduce our revenues. A decline in our customers' market share and commercial success, including their ability to compete favorably within their respective end markets, could significantly impact demand for our products and reduce our revenues. Cancellations, reductions, deferrals or non-payment of invoices could result from downturns in the semiconductor industry, including the cyclical downturn we are now experiencing, manufacturing delays, quality or reliability issues with our products, or from interruptions to our customers’ operations due to fire, natural disasters or other events, or other issues with the financial stability of our customers. Furthermore, because our probe cards are custom products designed for our customers’ unique wafer designs, any cancellations, reductions or delays can result in significant non-recoverable costs, including but not limited to the potential for impairment of inventories. In some situations, our customers might be able to cancel or reduce orders without a significant penalty.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i w:val="1"/>
          <w:iCs w:val="1"/>
          <w:color w:val="auto"/>
        </w:rPr>
        <w:t>If our relationships with our customers deteriorate, our product development activities could be harmed.</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success of our product development efforts depends upon our ability to anticipate market trends and to collaborate closely with our customers. Our relationships with these customers provide us with access to valuable information regarding manufacturing and process technology trends in the semiconductor industry, which enables us to better plan our product development activities. These relationships also provide us with opportunities to understand the performance and functionality requirements of our customers, which improves our ability to customize our products to fulfill their needs. Our relationships with our customers could deteriorate as a result of a variety of factors, such as if they become concerned about our ability to deliver quality products on a timely basis or to protect their intellectual property. Many of our customers are large companies that place significant orders with us, and the consequences of deterioration in our relationship with any of these companies could be significant due to the competitiveness of our industry and the significant influence that these companies exert in our market.</w:t>
      </w:r>
    </w:p>
    <w:p>
      <w:pPr>
        <w:spacing w:after="0" w:line="1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Consolidation in the semiconductor industry and within the semiconductor test equipment market could adversely affect the market for our products and negatively impact our ability to compete. </w:t>
      </w:r>
      <w:r>
        <w:rPr>
          <w:rFonts w:ascii="Times New Roman" w:cs="Times New Roman" w:eastAsia="Times New Roman" w:hAnsi="Times New Roman"/>
          <w:sz w:val="14"/>
          <w:szCs w:val="14"/>
          <w:color w:val="auto"/>
        </w:rPr>
        <w:t>Consolidation in the semiconductor industry may reduce our customer base and could adversely affect the market for our products, which could negatively impact our revenues. With consolidation, the number of actual and potential customers for our products has decreased in recent years. Consolidation may lead to relatively fewer opportunities to sell our products if we are not chosen as a supplier by any given prospective customer, and may lead to increased pricing pressures from customers that have greater volume purchasing power.</w:t>
      </w:r>
    </w:p>
    <w:p>
      <w:pPr>
        <w:spacing w:after="0" w:line="1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has also been consolidation within the semiconductor test equipment market. This consolidation trend could change our interactions and relationships with complementary tester, instrument, and probe card suppliers, and negatively impact our revenue and operating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customers’ test strategies, equipment and processes could decrease customer demand for our products.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demand for our products depends in large part upon the number of semiconductor designs, the pace of technology and architecture transitions in chip designs and overall semiconductor unit volume. The number of probe cards involved in a customer’s wafer testing can depend upon the number of devices being tested, the complexity of these devices, the test software program, the test equipment itself, and the utilization of chip designs featuring design-for-testability or self-testing capabilities. Customers may demand fewer probe cards or probing systems if they use test strategies that reduce the technical requirements on test equipment, improve available data on device performance earlier in the manufacturing process, or test devices later in the manufacturing process. Changes in the effectiveness of test technologies and test strategies used by customers may cause us to lose sales and revenues.</w:t>
      </w:r>
    </w:p>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may also lose sales if new semiconductor technologies or designs are implemented which cannot be efficiently tested using the products that we offer, or if semiconductor manufacturers reduce the amount or degree of testing that they perform. We may also incur significant research and development expenses in order to introduce new product architectures and platforms to serve the testing needs of new semiconductor technologies. These expenses are often incurred in advance of customer adoption or other anticipated benefits, and the return on these investments may be lower, or may develop more slowly, than we expect. If we do not achieve the benefits anticipated from these investments, or if the achievement of these benefits is delayed, our operating results may be negatively impacted.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Cyclicality in the semiconductor industry has in the past and may in the future adversely impact our sales.</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semiconductor industry has historically been cyclical and is characterized by wide fluctuations in product supply and demand. From time to time, this industry has experienced significant downturns, often in connection with, or in anticipation of, maturing product and technology cycles, excess inventories, and declines in general economic conditions. The global economic and semiconductor downturns have caused and may in the future cause our operating results to decline dramatically from one period to the next. For example, the semiconductor industry has been experiencing a cyclical downturn since the second half of fiscal 2022, which has extended through fiscal 2023, resulting in a significant decline in demand for foundry &amp; logic and DRAM products over the same period. Global economic stability can be negatively affected by a variety of factors and interrelationships, including the impacts of epidemics and pandemics, military conflicts or regional tensions, climate change, trade barriers (such as the U.S.-China trade restrictions implemented since fiscal 2022) and other factors acting alone or in combination. Some of these factors can also have a more direct adverse impact upon our operations to varying degrees. Our business depends heavily upon the development and manufacture of new semiconductors, the rate at which semiconductor manufacturers make transitions to smaller nanometer technology nodes and implement tooling cycles, the volume of production by semiconductor manufacturers, and the overall financial strength of our customers, which, in turn, depend upon the current and anticipated market demand for semiconductors and products that use semiconductors, such as servers, personal computers, automobiles and cell phones. During industry downturns, semiconductor manufacturers sharply curtail their spending, including their spending on our products, which may adversely impact our revenues, gross margins and results of operations. Further, 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3" w:name="page14"/>
    <w:bookmarkEnd w:id="13"/>
    <w:p>
      <w:pPr>
        <w:jc w:val="both"/>
        <w:spacing w:after="0" w:line="287" w:lineRule="auto"/>
        <w:rPr>
          <w:sz w:val="20"/>
          <w:szCs w:val="20"/>
          <w:color w:val="auto"/>
        </w:rPr>
      </w:pPr>
      <w:r>
        <w:rPr>
          <w:rFonts w:ascii="Times New Roman" w:cs="Times New Roman" w:eastAsia="Times New Roman" w:hAnsi="Times New Roman"/>
          <w:sz w:val="14"/>
          <w:szCs w:val="14"/>
          <w:color w:val="auto"/>
        </w:rPr>
        <w:t>protracted downturn could cause one or more of our customers to become insolvent, resulting in a loss of revenue and impacting our ability to collect on accounts receivable. The timing, length and severity of these cyclical downturns are difficult to predict, and our business depends on our ability to plan for and react to these cyclical changes.</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Because we generally do not have a sufficient backlog of unfilled orders to meet our quarterly revenue targets, revenues in any quarter are substantially dependent upon customer orders received and fulfilled in that quarter.</w:t>
      </w:r>
    </w:p>
    <w:p>
      <w:pPr>
        <w:jc w:val="both"/>
        <w:spacing w:after="0" w:line="259" w:lineRule="auto"/>
        <w:rPr>
          <w:sz w:val="20"/>
          <w:szCs w:val="20"/>
          <w:color w:val="auto"/>
        </w:rPr>
      </w:pPr>
      <w:r>
        <w:rPr>
          <w:rFonts w:ascii="Times New Roman" w:cs="Times New Roman" w:eastAsia="Times New Roman" w:hAnsi="Times New Roman"/>
          <w:sz w:val="14"/>
          <w:szCs w:val="14"/>
          <w:color w:val="auto"/>
        </w:rPr>
        <w:t>Our revenues are difficult to forecast because we generally do not have sufficient backlog of unfilled orders to meet our quarterly revenue targets at the beginning of a quarter. Rather, a substantial percentage of our revenues in any quarter depend upon customer orders for our products that we receive and fulfill in that quarter. Because our expense levels are based in part on our expectations as to future revenues and to a large extent are fixed in the short term, we might be unable to adjust spending in time to compensate for any unexpected shortfall in revenues.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ability to forecast demand for our products or the predictability of our manufacturing yields deteriorates, we could incur high inventory losses.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Each semiconductor chip design requires a custom probe card. Because our probe card products are design-specific, demand for these products is difficult to forecast. Due to our customers’ short delivery time requirements, we often design and procure materials and, at times, produce our products in anticipation of demand for our products rather than in response to an order. Our manufacturing yields and inventory requirements, particularly for new products or when we are operating at high output levels, have at times been unpredictable. If we do not obtain orders as we anticipate, if we suffer manufacturing errors, or if we build additional inventory to compensate for unpredictable manufacturing yields, we could have excess or obsolete inventory that we may not be able to sell, which would likely result in inventory write-offs or material charges for scrap.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efficiently manufacture our existing and new products, our business may be materially adversely affected.</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must continuously improve our manufacturing processes in an effort to increase yields and product performance, lower our costs and reduce the time required for us to design, manufacture and deliver our products in volume. If we fail to do so, both our existing products and our new products may not be commercially successful, our revenues and profitability may be adversely affected, our customer relationships and our reputation may be harmed, and our business may be materially adversely affected.</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 improve our manufacturing processes, we have incurred, and may incur in the future, substantial costs in an effort to optimize capacity and yields, open new manufacturing facilities, implement new manufacturing technologies, methods and processes, purchase new equipment, upgrade existing equipment, and train technical personnel. We have experienced, and may experience in the future, manufacturing delays and other inefficiencies in connection with implementation of these improvements and customer qualifications of new processes or products. These delays and other inefficiencies may arise from a variety of factors. Further, these investments may consume available cash in the short term for anticipated benefit that may or may not occur. Our operating results and liquidity have been and may in the future be negatively impacted by these factors.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also experienced, and may experience in the future, difficulties in manufacturing our complex products in volume, on time, and at acceptable yields and cost, and/or have installation issues in the field, due to the complexity of customer requirements. These challenges, if not timely resolved could have a material adverse effect on operating results and our ability to compete effectively.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continue to reduce the time it takes for us to design and produce products, our growth could be impeded.</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customers continuously seek to reduce the time it takes them to introduce new products to market. The cyclicality of the semiconductor industry, coupled with changing demands for semiconductor products, requires our customers to be flexible and highly adaptable to changes in the design, volume and mix of products they must produce. We may be unable to design, configure and produce our products within the short cycle times required to respond to such rapid changes. We have lost sales in the past where we were unable to meet a customer’s required delivery schedules. If we are unable to continue to reduce the time it takes for us to design, manufacture and ship our products in response to the needs of our customers, our competitive position could be harmed and we could lose sales.</w:t>
      </w:r>
    </w:p>
    <w:p>
      <w:pPr>
        <w:spacing w:after="0" w:line="3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Products that do not meet specifications or that contain defects could damage our reputation, decrease market acceptance of our technology, cause us to lose customers and revenues, and result in liability to us.</w:t>
      </w: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complexity and ongoing development of our product designs and manufacturing processes could lead to design or manufacturing problems. Problems might result from a number of factors, including design defects, materials failure, failure of components manufactured by our suppliers to meet our specifications, contamination in the manufacturing environment, impurities in the materials used, unknown sensitivities to process conditions such as temperature and humidity, and equipment failures. Any errors or defects could: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4" w:name="page15"/>
    <w:bookmarkEnd w:id="14"/>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lower than anticipated yields and lengthen delivery schedules;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delays in product shipments;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delays in new product introductions;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us to incur warranty expenses;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increased costs and diversion of development resources;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us to incur increased charges due to unusable inventory;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design modifications;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implications for timing of revenue recognition and associated costs; or</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market acceptance or customer satisfaction with these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occurrence of any one or more of these events could adversely affect our business, reputation and operating results.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 part of our sales process, we could incur substantial sales and engineering expenses that do not result in revenues.</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customers generally expend significant efforts evaluating and qualifying our products prior to placing an order. While our customers are evaluating our products, we might incur substantial sales, marketing, and research and development expenses. For example, we typically expend significant resources educating our prospective customers regarding the uses and benefits of our products and customizing them to the potential customer’s needs, for which we might not be reimbursed. The substantial resources we commit to our sales efforts may not result in any revenues from a customer. For example, many semiconductor processes, architectures, and designs never reach production, including those for which we may have expended development effort and expense. In addition, prospective customers might decide not to use our products or use our products for a relatively small percentage of their requirements after we have expended significant effort and expense toward product design, development, and/or manufacturing. If we do not achieve the benefits anticipated from any of these investments, or if the achievement any of these benefits is delayed, our operating results may be negatively impacted.</w:t>
      </w:r>
    </w:p>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We obtain some of the components and materials we use in our products from a sole source or a limited group of suppliers, and the partial or complete loss of one of these suppliers, or scarcity of raw materials from one of these suppliers, could cause production delays.</w:t>
      </w:r>
    </w:p>
    <w:p>
      <w:pPr>
        <w:jc w:val="both"/>
        <w:spacing w:after="0" w:line="255" w:lineRule="auto"/>
        <w:rPr>
          <w:sz w:val="20"/>
          <w:szCs w:val="20"/>
          <w:color w:val="auto"/>
        </w:rPr>
      </w:pPr>
      <w:r>
        <w:rPr>
          <w:rFonts w:ascii="Times New Roman" w:cs="Times New Roman" w:eastAsia="Times New Roman" w:hAnsi="Times New Roman"/>
          <w:sz w:val="14"/>
          <w:szCs w:val="14"/>
          <w:color w:val="auto"/>
        </w:rPr>
        <w:t>We obtain some of the components and materials used in our products, such as printed circuit board assemblies, plating materials and ceramic substrates, from a sole source or a limited group of suppliers, and in some cases alternative sources are not currently available. Because we rely on purchase orders rather than long-term contracts with the majority of our suppliers, we cannot guarantee our ability to obtain components and materials in the long term. A sole or limited source supplier could increase prices, which could lead to a decline in our gross profit. Our dependence upon sole or limited source suppliers exposes us to several other risks, including inability to obtain an adequate supply of materials, late deliveries, poor component quality, and business disruptions while we seek to identify and qualify alternative suppliers. This could be exacerbated by certain events outside the control of either the supplier or us, such as global, regional or national health crises, armed conflicts, regional tensions or other adverse global, regional and national events. The occurrence of any of these risks could adversely impact our business, results of operations and financial condition.</w:t>
      </w: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dependent on the availability of certain key raw materials and natural resources used in our products and various manufacturing processes, and we rely on third parties to supply us with these materials in a cost-effective and timely manner. Our access to raw materials may be adversely affected if our suppliers’ operations were disrupted as a result of limited or delayed access to key raw materials and natural resources, which may result in increased cost for these items.</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Our operations, or those of our important suppliers, business partners and customers, could be adversely affected by events outside of our control such as natural disasters, pandemics and man-made disasters.</w:t>
      </w:r>
    </w:p>
    <w:p>
      <w:pPr>
        <w:jc w:val="both"/>
        <w:spacing w:after="0" w:line="259" w:lineRule="auto"/>
        <w:rPr>
          <w:sz w:val="20"/>
          <w:szCs w:val="20"/>
          <w:color w:val="auto"/>
        </w:rPr>
      </w:pPr>
      <w:r>
        <w:rPr>
          <w:rFonts w:ascii="Times New Roman" w:cs="Times New Roman" w:eastAsia="Times New Roman" w:hAnsi="Times New Roman"/>
          <w:sz w:val="14"/>
          <w:szCs w:val="14"/>
          <w:color w:val="auto"/>
        </w:rPr>
        <w:t>Our business is vulnerable to the direct and indirect impact of natural and man-made disasters, such as floods, earthquakes, volcanic eruptions, nuclear accidents, acts of terrorism, epidemics, pandemics, military conflicts, climate change, and other factors acting alone or in combination. It is also possible that future natural and man-made disasters could negatively impact the sales of our products as a result of impacts upon our customers’ ability to make or sell their products, or impacts upon our suppliers’ ability to supply components to us on a timely basis.</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example, the COVID-19 pandemic has shown the extent to which new pathogens are capable of disrupting business operations and economic activity locally and worldwide. Health crises can severely disrupt global supply chains, including for parts and materials that we use to manufacture our products, and affect economic conditions in the markets for our products. The circumstances which give rise to epidemics and pandemics from new or existing pathogens with similar impacts are expected to persist indefinitely.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15" w:name="page16"/>
    <w:bookmarkEnd w:id="15"/>
    <w:p>
      <w:pPr>
        <w:jc w:val="both"/>
        <w:spacing w:after="0" w:line="270" w:lineRule="auto"/>
        <w:rPr>
          <w:sz w:val="20"/>
          <w:szCs w:val="20"/>
          <w:color w:val="auto"/>
        </w:rPr>
      </w:pPr>
      <w:r>
        <w:rPr>
          <w:rFonts w:ascii="Times New Roman" w:cs="Times New Roman" w:eastAsia="Times New Roman" w:hAnsi="Times New Roman"/>
          <w:sz w:val="14"/>
          <w:szCs w:val="14"/>
          <w:color w:val="auto"/>
        </w:rPr>
        <w:t>Another example of events outside of our control arises from our manufacturing facilities being located in seismically active areas in California and Oregon. The manufacturing equipment and processes that we use can be severely disrupted by seismic activity. A significant seismic event in an area of our operations could have a materially negative impact on our operations, financial results or financial condition.</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Much of the infrastructure on which we rely for our operations is outside of our control, such as electric power infrastructure. We have previously experienced disruptions to electrical power at some of our premises in California and China, especially when aging infrastructure or inadequate electric power service has been impacted by high demand, fires, and weather which may worsen over time with climate change, and other events. Our efforts to mitigate the effects on us from interruptions in the availability of electric power, or other infrastructure, may not adequately prevent materially negative impacts on our operations, and in turn our financial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Climate change, or legal, regulatory or market measures to address climate change, may negatively affect our business and operations.</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physical impacts of climate change could adversely impact our costs and operations. There has been public discussion that climate change may be associated with rising sea levels as well as extreme weather conditions such as more intense hurricanes, thunderstorms, tornadoes, drought, and snow or ice storms. Extreme weather conditions may increase our costs or cause damage to our facilities, and any damage resulting from extreme weather may not be fully insured, and may also limit our ability to fully insure facilities on a cost-effective basis in the future. Periods of extended inclement weather may inhibit construction of our capital improvement projects. Any such events could adversely impact our costs or results of operations.</w:t>
      </w:r>
    </w:p>
    <w:p>
      <w:pPr>
        <w:spacing w:after="0" w:line="1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Concerns relating to climate change have led to a range of local, state, federal, and international regulatory and policy efforts to seek to address greenhouse gas (“GHG”) emissions. In the U.S., various approaches are being proposed or adopted at the federal, state, and local government levels, such as recent legislation enacted in California. These efforts could lead to additional costs on the Company now or in the future, including increased energy and other capital or operational costs, or additional legal requirements on the Company. These efforts could also materially increase our costs of evaluating potential manufacturing sites, or in some cases eliminate some potential locations as feasible sites. In addition to the potential for additional GHG regulation or incentives, enhanced corporate, public, and stakeholder awareness of climate change could affect the Company's reputation or customer demand. Climate change concerns and GHG regulatory efforts could also affect the Company's customers themselves. We could also face pressure from these groups to adapt our physical facilities for alternative sources of energy, which may be less cost-effective than current sources. Any of these factors, individually or combined with one or more factors, or other unforeseen factors or other impacts of climate change, could affect the Company and adversely impact our business, operations, or financial condition.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Adverse global, regional and national economic conditions could have a negative effect on our business, results of operations, financial condition, liquidity, and access to capital markets.</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 variety of factors, including natural disasters, health crises, climate change, military conflicts and other geopolitical events, may adversely affect national, regional and global economies and financial markets. Any such adverse events may result in global, regional or national economic slowdowns or other economic downturns. Such downturns could curtail or delay spending by businesses and consumers which may ultimately result in reductions in the demand for our products, greater volatility in demand and supply conditions and other adverse impacts. For example, any deterioration in the relations between Taiwan and China, and other factors affecting military, political or economic conditions in Taiwan or elsewhere in Asia, could adversely impact our suppliers, manufacturers and customers with operations located in the region, which could disrupt our business operations, affect demand for our products or increase our costs, negatively impacting our revenues, gross margins, and overall results of operations. Additionally, these events may also increase uncertainty in global credit and financial markets. The impacts of such uncertainty and disruptions to the availability of credit or other sources of capital could also adversely affect our ability to access capital on favorable terms or on a timely basis to meet our objectives. Any of these factors could have a material adverse impact on our business, results of operations, financial condition and cash flows.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Sustained inflation could have a material adverse effect on our business, financial condition, results of operations and liquidity.</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Inflation rates in the markets in which we operate have increased and may continue to rise. Inflation in recent periods has led us to experience higher costs related to labor, materials from suppliers, and transportation. Our suppliers raised their prices and may continue to raise prices, and in the competitive markets in which we operate, we may not be able to make corresponding price increases, productivity improvements or cost reductions to preserve our gross margins and profitability. If inflation rates continue to rise or remain elevated for a sustained period of time, they could have a material adverse effect on our business, financial condition, results of operations and liquidity. We have generally been able to offset increases in these costs through various productivity improvement and cost reduction initiatives, as well as by adjusting our selling prices to pass through some of these higher costs to our customers; however, our ability to raise our selling prices depends on market conditions and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6" w:name="page17"/>
    <w:bookmarkEnd w:id="16"/>
    <w:p>
      <w:pPr>
        <w:jc w:val="both"/>
        <w:spacing w:after="0" w:line="287" w:lineRule="auto"/>
        <w:rPr>
          <w:sz w:val="20"/>
          <w:szCs w:val="20"/>
          <w:color w:val="auto"/>
        </w:rPr>
      </w:pPr>
      <w:r>
        <w:rPr>
          <w:rFonts w:ascii="Times New Roman" w:cs="Times New Roman" w:eastAsia="Times New Roman" w:hAnsi="Times New Roman"/>
          <w:sz w:val="14"/>
          <w:szCs w:val="14"/>
          <w:color w:val="auto"/>
        </w:rPr>
        <w:t>competitive dynamics. Given the timing of our actions compared to the timing of these inflationary pressures, there may be periods during which we are unable to fully recover the increases in our costs.</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We rely on the security and integrity of our electronic data systems, managed both internally and by third parties, for our business requirements, and our business can be damaged by disruptions, security breaches or compromises of these systems.</w:t>
      </w:r>
    </w:p>
    <w:p>
      <w:pPr>
        <w:jc w:val="both"/>
        <w:spacing w:after="0" w:line="266" w:lineRule="auto"/>
        <w:rPr>
          <w:sz w:val="20"/>
          <w:szCs w:val="20"/>
          <w:color w:val="auto"/>
        </w:rPr>
      </w:pPr>
      <w:r>
        <w:rPr>
          <w:rFonts w:ascii="Times New Roman" w:cs="Times New Roman" w:eastAsia="Times New Roman" w:hAnsi="Times New Roman"/>
          <w:sz w:val="14"/>
          <w:szCs w:val="14"/>
          <w:color w:val="auto"/>
        </w:rPr>
        <w:t>We rely on electronic data systems, including a variety of software and networking, computing and storage equipment and other information technologies, to operate and manage our business and to collect, process, maintain, and safeguard information, including information belonging to our customers, partners, and personnel.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electronic data systems may be subject to defects, failures or disruptions as a result of, among other things, natural disasters, accidents, power disruptions, telecommunications failures, deficiencies in new system designs and implementations, acts of terrorism or war, physical security breaches, computer viruses or other cyber attacks. Such incidents or other system failures or disruptions could subject us to downtime and delays, compromise or loss of sensitive or proprietary information, destruction or corruption of data, financial losses from remedial actions, breaches of obligations to third parties under privacy laws or contracts, or damage to our reputation or customer relationships. Any of the foregoing could have a material adverse effect on our business, operating results and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Because we conduct most of our business internationally, we are subject to operational, economic, financial and political risks abroad.</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Sales of our products to customers outside of the United States represent a significant part of our past and anticipated revenues. Our international sales as a percentage of our revenues were 74%, 83% and 84% for fiscal 2023, 2022 and 2021, respectively. Certain of our non-U.S. based customers also purchase through their subsidiaries in the United States. In the future we expect international sales to continue to account for a significant percentage of our revenues. Accordingly, we will be subject to risks and challenges that we would not otherwise face if we conducted our business solely in the United States.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risks and challenges include:</w:t>
      </w:r>
    </w:p>
    <w:p>
      <w:pPr>
        <w:spacing w:after="0" w:line="200"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 wide variety of foreign laws and regulations, including social, political, immigration, and tax and trade policies;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uncertainties regarding taxes, tariffs, quotas, export controls, export licenses and other trade barriers;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instability or foreign conflicts, including trade wars, that involve or affect the countries of our customers;</w:t>
      </w:r>
    </w:p>
    <w:p>
      <w:pPr>
        <w:spacing w:after="0" w:line="8" w:lineRule="exact"/>
        <w:rPr>
          <w:rFonts w:ascii="Times New Roman" w:cs="Times New Roman" w:eastAsia="Times New Roman" w:hAnsi="Times New Roman"/>
          <w:sz w:val="14"/>
          <w:szCs w:val="14"/>
          <w:color w:val="auto"/>
        </w:rPr>
      </w:pPr>
    </w:p>
    <w:p>
      <w:pPr>
        <w:ind w:left="520" w:right="500" w:hanging="260"/>
        <w:spacing w:after="0" w:line="25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restrictions on, or nationalization of, our operations in any country, or restrictions on our ability to repatriate earnings from or distribute compensation or other funds in a particular country;</w:t>
      </w: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changes relating to government grants, tax credits, or other government incentives, including more favorable incentives provided to competitors;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collecting accounts receivable and longer accounts receivable payment cycles;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staffing and managing personnel, distributors and representatives;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protection for intellectual property rights in some countries;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exchange rate fluctuations, which could affect the value of our assets denominated in local currency, as well as the price of our products relative to locally produced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regional and national geopolitical or other events, such as political instability, acts of war or terrorism, regional tensions, health crises and natural disasters;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 fluctuations in purchasing patterns in other countries;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freight rates and transportation disruptions.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Any of these factors could harm our existing international operations, impair our ability to continue expanding into international markets or materially adversely affect our operating results. Political developments in the United States and elsewhere may increase the risks and uncertainties associated with conducting international business, including the possibilities of greater tariffs and other trade barriers in the regions where we conduct business. In fiscal 2023, we observed a continuing trend of increasing risks and challenges in the conduct of our international business activities, including expanded tariffs and other trade barriers affecting the United States and China. Additionally, we are required to comply with foreign import and export requirements, customs and value added tax standards that can be unclear or complex. Our failure to meet these requirements and standards could negatively impact our business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foreign operations expose us to additional risks relating to currency fluctuations.</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Our international operations are significant to our revenues and net income, and we plan to continue to grow internationally. We have significant business operations located in Germany. While we report our financial results in U.S. dollars, we incur certain costs in other currencies, and have certain foreign currency denominated assets and liabilities. We, therefore, face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7" w:name="page18"/>
    <w:bookmarkEnd w:id="17"/>
    <w:p>
      <w:pPr>
        <w:jc w:val="both"/>
        <w:spacing w:after="0" w:line="270" w:lineRule="auto"/>
        <w:rPr>
          <w:sz w:val="20"/>
          <w:szCs w:val="20"/>
          <w:color w:val="auto"/>
        </w:rPr>
      </w:pPr>
      <w:r>
        <w:rPr>
          <w:rFonts w:ascii="Times New Roman" w:cs="Times New Roman" w:eastAsia="Times New Roman" w:hAnsi="Times New Roman"/>
          <w:sz w:val="14"/>
          <w:szCs w:val="14"/>
          <w:color w:val="auto"/>
        </w:rPr>
        <w:t>exposure to fluctuations in currency exchange rates. Significant fluctuations in exchange rates between the U.S. dollar and foreign currencies may adversely affect our revenues and earnings, despite our hedging of a portion of our international currency exposures. Additionally, hedging programs are inherently risky and could expose us to additional costs and risks that could adversely affect our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Increasingly restrictive export regulations and other trade barriers may materially harm our business.</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Sales of our products to customers outside of the United States represent a significant part of our past and anticipated revenues, including sales involving exports from the United States to China. Geopolitical and trade tensions between the United States and China, one of our largest markets, have led to increased tariffs and trade restrictions and have affected customer ordering patterns, and this dynamic between the countries may persist or increase for the foreseeable future. For example, the U.S. Department of Commerce, Bureau of Industry and Security (“BIS”), has recently amended the U.S. Export Administration Regulations to expand license requirements on exports to entities in China that may support military end uses. These rules expand export license requirements on a broader set of items from the U.S., including many of our products, and for a broader set of customers in China and elsewhere. The BIS has also broadened the application of U.S. export controls to certain items which may be subject to Foreign Direct Product Rules (“FDPR”). There is no assurance that we will obtain any export licenses on a timely basis or at all. There also remains considerable uncertainty regarding the interpretation and implementation of new regulations. In reaction to U.S. trade regulations, governments and private businesses outside the United States, particularly in China, may implement retaliatory controls and preferences for non-U.S. or local suppliers, which can increase our manufacturing costs, make our products less competitive, reduce demand for our products, limit our ability to sell to certain customers, limit our ability to procure components or raw materials, or impede or slow the movement of our goods across borders. For example, China has restricted U.S. access to certain minerals and has blocked certain companies that provide products to Taiwan's military from selling products in China. Also, in China, we are already observing stronger preferences for non-U.S. suppliers in general, and in favor of new and existing local suppliers in particular. These and other regulatory and policy changes, and the reactions of customers to such changes, in the U.S. and elsewhere, could materially and negatively affect our future sales and operating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protect our proprietary rights, our competitors might gain access to our technology, which could adversely affect our ability to compete successfully in our markets.</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If we choose not to protect our proprietary rights or fail in our efforts to protect our proprietary rights, our competitors might gain access to our technology. Unauthorized parties might attempt to copy aspects of our products or to obtain and use information that we regard as proprietary. Others might independently develop similar or competing technologies or methods or design around our patents. In addition, the laws of many foreign countries in which we or our customers do business do not protect our intellectual property rights to the same extent as the laws of the United States. As a result, our proprietary rights could be compromised, our competitors might offer products similar to ours, and we might not be able to compete successfully. We also cannot assure that:</w:t>
      </w:r>
    </w:p>
    <w:p>
      <w:pPr>
        <w:spacing w:after="0" w:line="166"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means of protecting our proprietary rights will be adequate;</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patents will be issued from our pending or future applications;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existing or future patents will be sufficient in scope or strength to provide any meaningful protection or commercial advantage to us;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patents or other intellectual property will not be invalidated, circumvented or successfully challenged in the United States or foreign countries; or</w:t>
      </w:r>
    </w:p>
    <w:p>
      <w:pPr>
        <w:spacing w:after="0" w:line="8" w:lineRule="exact"/>
        <w:rPr>
          <w:rFonts w:ascii="Times New Roman" w:cs="Times New Roman" w:eastAsia="Times New Roman" w:hAnsi="Times New Roman"/>
          <w:sz w:val="14"/>
          <w:szCs w:val="14"/>
          <w:color w:val="auto"/>
        </w:rPr>
      </w:pPr>
    </w:p>
    <w:p>
      <w:pPr>
        <w:ind w:left="520" w:right="260" w:hanging="260"/>
        <w:spacing w:after="0" w:line="266"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will not misappropriate our proprietary technologies or independently develop similar technologies, duplicate our products or design around any of our patents or other intellectual property, or attempt to manufacture and sell infringing products in countries that do not strongly enforce intellectual property rights.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spent, and may be required to spend in the future, significant resources to monitor and protect our intellectual property rights. Any litigation, whether or not resolved in our favor, and whether initiated by us or by a third party, could result in significant and possibly material expenses to us and divert the efforts of our management and technical personnel.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might be subject to claims of infringement of other parties’ proprietary rights.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industry is characterized by uncertain and conflicting intellectual property claims. As we have in the past, we may receive claims that we are infringing intellectual property rights of others. The resolution of intellectual property claims, with or without merit, could be time consuming, result in costly litigation with highly uncertain outcomes, or impact our delivery of products. In the event of an adverse judgement or settlement, we might be required to pay substantial amounts, cease the use or sale of infringing products, spend significant resources to develop non-infringing technology, discontinue the use of certain technology, or enter into license agreements. License agreements might not be available on terms acceptable to us or at all. In addition, certain of our customer contracts contain provisions that require us to defend or indemnify our customers for third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color w:val="auto"/>
        </w:rPr>
        <w:t>party intellectual property infringement claims, which could increase the costs and negative impacts of intellectual property claims.</w:t>
      </w:r>
    </w:p>
    <w:p>
      <w:pPr>
        <w:spacing w:after="0" w:line="19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have recorded restructuring, inventory write-offs and asset impairment charges in the past, and may do so again in the future, which could have a material negative impact on our business. </w:t>
      </w:r>
      <w:r>
        <w:rPr>
          <w:rFonts w:ascii="Times New Roman" w:cs="Times New Roman" w:eastAsia="Times New Roman" w:hAnsi="Times New Roman"/>
          <w:sz w:val="14"/>
          <w:szCs w:val="14"/>
          <w:color w:val="auto"/>
        </w:rPr>
        <w:t>We have recorded significant restructuring charges in prior periods, and we may implement restructuring plans in the future, which would require us to take additional, potentially material, restructuring charges related to employee terminations, asset disposal or exit costs. We may also be required to write-off additional inventory if our product build plans or usage of inventory experience declines, and such additional write-offs could constitute material charges. In addition, significant adverse changes in market conditions could require us to take additional material impairment charges related to our long-lived assets if the changes impact the critical assumptions or estimates that we use in our assessment of the recoverability of our long-lived assets. Any such additional charges, whether related to restructuring, asset impairment or factory underutilization, may have a material negative impact on our operating results and related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recruit or retain qualified personnel.</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believe our ability to manage successfully and grow our business and to develop new products depends, in large part, on our ability to recruit and retain qualified employees, particularly highly skilled technical, sales, management, and other key personnel. Competition for qualified resources is intense. Other companies may have greater resources available to provide substantial inducements to lure key personnel away from us or to offer more competitive compensation packages to individuals we are trying to hire.</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Our failure to comply with environmental laws and regulations could subject us to significant fines and liabilities, and new laws and regulations or changes in regulatory interpretation or enforcement could make compliance more difficult and costly.</w:t>
      </w:r>
    </w:p>
    <w:p>
      <w:pPr>
        <w:jc w:val="both"/>
        <w:spacing w:after="0" w:line="257" w:lineRule="auto"/>
        <w:rPr>
          <w:sz w:val="20"/>
          <w:szCs w:val="20"/>
          <w:color w:val="auto"/>
        </w:rPr>
      </w:pPr>
      <w:r>
        <w:rPr>
          <w:rFonts w:ascii="Times New Roman" w:cs="Times New Roman" w:eastAsia="Times New Roman" w:hAnsi="Times New Roman"/>
          <w:sz w:val="14"/>
          <w:szCs w:val="14"/>
          <w:color w:val="auto"/>
        </w:rPr>
        <w:t>We are subject to various U.S. federal, state and local, and foreign governmental laws and regulations relating to the protection of the environment, including those governing the discharge of pollutants into the air and water, the management and disposal of hazardous substances and wastes, the cleanup of contaminated sites and the maintenance of a safe workplace. We could incur substantial costs, including cleanup costs, civil or criminal fines or sanctions, and third-party claims for property damage or personal injury, as a result of violations of or liabilities under environmental laws and regulations or non-compliance with the environmental permits required at our facilities.</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Environmental laws, regulations and permits could require the installation of costly pollution or waste control equipment or operational changes to limit waste or emissions or decrease the likelihood of accidental releases of hazardous substances. In addition, changing laws and regulations, new laws and regulations, stricter enforcement of existing laws and regulations, the discovery of previously unknown contamination at our or others’ sites, or the imposition of new cleanup requirements could require us to curtail our operations, restrict our future expansion, subject us to liability and cause us to incur future costs that could harm our operations, thereby adversely impacting our operating results and cash flow.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additional risks as a result of increased attention by our stakeholders to environmental, social and governance (“ESG”) matters.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stakeholders, including customers, investors, advisory firms, employees, and suppliers, among others, are increasing their attention to, and establishing expectations for, ESG and related matters. These expectations can extend to our corporate practices, initiatives, and disclosures, as well as stakeholder standards or preferences for investments or doing business. Third-party agencies have also established or added standards for rating companies on a range of ESG-related factors that may be inconsistent and subject to change. As a result, these expectations may impact the attractiveness of our business, the manner in which we do business, our reputation, the costs of doing business, and the willingness of these stakeholders to engage with, invest in, or retain us. We may be further impacted by the adoption and evolution of ESG-related regulation and legislation in the jurisdictions in which we do business, which could result in increased compliance, operational, and other costs.</w:t>
      </w:r>
    </w:p>
    <w:p>
      <w:pPr>
        <w:spacing w:after="0" w:line="3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the Company has provided voluntary disclosures on ESG matters, including energy usage, greenhouse gas emissions, health and safety, diversity and inclusion, and labor and human rights. Such disclosures are aspirational and based on frameworks and standards for such initiatives and progress that are still developing, assumptions that may change, and disclosure control and procedures that continue to evolve. We may fail, or be perceived to fail, in attaining or maintaining our ESG-related initiatives. The topics on which we focus may not be popular with our stakeholders. These events or perceptions may expose us to additional reputational and operational risks.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Relating to Our Acquisitions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We have made acquisitions, and may make additional acquisitions or investments in the future, which could put a strain on our resources, cause ownership dilution to our stockholders, or adversely affect our financial results.</w:t>
      </w:r>
    </w:p>
    <w:p>
      <w:pPr>
        <w:jc w:val="both"/>
        <w:spacing w:after="0" w:line="254" w:lineRule="auto"/>
        <w:rPr>
          <w:sz w:val="20"/>
          <w:szCs w:val="20"/>
          <w:color w:val="auto"/>
        </w:rPr>
      </w:pPr>
      <w:r>
        <w:rPr>
          <w:rFonts w:ascii="Times New Roman" w:cs="Times New Roman" w:eastAsia="Times New Roman" w:hAnsi="Times New Roman"/>
          <w:sz w:val="14"/>
          <w:szCs w:val="14"/>
          <w:color w:val="auto"/>
        </w:rPr>
        <w:t>Our acquisitions or investments may subject us to new or heightened risks. Integrating any newly acquired businesses, products or technologies into our company draws upon our resources in ways that can be expensive and time consuming. These activities can substantially affect our financial resources, could cause delays in product delivery and might not be successful. Acquisitions and investments can divert management’s attention and expose our business to new liabilities or risks associated with entering into new business activities. In addition, we might lose key employees while integrating new organizations. We might not be successful in integrating any acquired businesses, products or technologies, and might not achieve anticipated revenues and cost benefits. Investments that we make may not result in a return consistent with our projections upon which such investments are made, or may require additional investment that we did not originally anticipate. In addition, acquisitions can result in customer dissatisfaction, performance problems with an acquired company, potentially dilutive issuances of equity securities or the incurrence of debt and restrictive debt covenants, contingent liabilities, possible impairment charges related to goodwill or other intangible assets, or other adverse impacts or circumstances. If any of these risks were to come about, our business, financial results and stock price could be materially and adversely affected.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goodwill or other intangible assets that we recorded, or will record, in connection with our acquisitions become impaired, we could be required to take significant charges against earnings.</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connection with our accounting for acquired businesses, we record a significant amount of goodwill and other intangible assets. Under U.S. generally accepted accounting principles, or GAAP, we must assess, at least annually and potentially more frequently, whether the value of goodwill and other indefinite-lived intangible assets have been impaired. Finite-lived intangible assets are assessed for impairment in the event of an impairment indicator. Any reduction or impairment of the value of goodwill or other intangible assets will result in a charge against earnings, which could materially adversely affect our results of operations and stockholders’ equity in future periods.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Relating to Owning Our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internal and disclosure controls and procedures, we may not be able to accurately report our financial results or prevent fraud.</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Effective internal and disclosure controls and procedures are necessary for us to provide reliable financial reports, to prevent fraud and to operate successfully as a public company. If we cannot provide reliable financial reports or prevent fraud, our business and reputation may be harmed. We regularly review and assess our internal controls over financial reporting and our disclosure controls and procedures. As part of that process, we may discover material weaknesses in our internal controls. If we fail to maintain effective controls or timely implement any necessary improvement of our internal and disclosure controls, we may not have accurate information to make management decisions, our operating results could be harmed, or we may fail to meet our reporting obligations. Ineffective internal and disclosure controls could also cause stockholders to lose confidence in our reported financial information and our ability to manage our business, which would likely have a negative effect on the trading price of our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our common stock has been and is likely to continue to be volatile, and you might not be able to sell your shares at or above the price that you paid for them.</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trading prices of the securities of technology companies have been highly volatile. During fiscal 2023, our stock price (Nasdaq Global Market close price) ranged from $21.92 per share to $42.01 per share. The trading price of our common stock is likely to continue to be subject to wide fluctuations. Factors affecting the trading price of our common stock could include:</w:t>
      </w:r>
    </w:p>
    <w:p>
      <w:pPr>
        <w:spacing w:after="0" w:line="159"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operating results;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forecasts and financial guidance for future periods;</w:t>
      </w:r>
    </w:p>
    <w:p>
      <w:pPr>
        <w:spacing w:after="0" w:line="8" w:lineRule="exact"/>
        <w:rPr>
          <w:rFonts w:ascii="Times New Roman" w:cs="Times New Roman" w:eastAsia="Times New Roman" w:hAnsi="Times New Roman"/>
          <w:sz w:val="14"/>
          <w:szCs w:val="14"/>
          <w:color w:val="auto"/>
        </w:rPr>
      </w:pPr>
    </w:p>
    <w:p>
      <w:pPr>
        <w:ind w:left="520" w:right="620" w:hanging="260"/>
        <w:spacing w:after="0" w:line="253"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technological innovations, new products or product enhancements, new product adoptions at semiconductor customers or significant agreements by us or by our competitors;</w:t>
      </w: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reports regarding our ability to bring new products into volume production efficiently;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or loss of significant orders or customers;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estimates of our operating results or changes in recommendations by any securities analysts that elect to follow our common stock;</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rulings on litigation and proceedings;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seasonality, principally due to our customers' purchasing cycles;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and competitive conditions in our industry, the entire semiconductor industry and the economy as a whole;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recruitment or departure of key personnel;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0" w:name="page21"/>
    <w:bookmarkEnd w:id="20"/>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mergers and acquisition transactions and the ability to successfully integrate the business activities of the acquired/merged company; and</w:t>
      </w:r>
    </w:p>
    <w:p>
      <w:pPr>
        <w:spacing w:after="0" w:line="23" w:lineRule="exact"/>
        <w:rPr>
          <w:rFonts w:ascii="Times New Roman" w:cs="Times New Roman" w:eastAsia="Times New Roman" w:hAnsi="Times New Roman"/>
          <w:sz w:val="14"/>
          <w:szCs w:val="14"/>
          <w:color w:val="auto"/>
        </w:rPr>
      </w:pPr>
    </w:p>
    <w:p>
      <w:pPr>
        <w:ind w:left="520" w:right="140" w:hanging="260"/>
        <w:spacing w:after="0" w:line="266"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global economic instability, including as a result of trade barriers, natural disasters, epidemics and pandemics, military conflicts, climate change, and other factors acting alone or in combination.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if the market for technology stocks or the stock market in general experiences loss of investor confidence, the trading price of our common stock could decline for reasons unrelated to our business, operating results or financial condition. The trading price of our common stock also might decline in reaction to events that affect other companies in our industry even if these events do not directly affect us.</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Provisions of our certificate of incorporation and bylaws or Delaware law might discourage, delay or prevent a change of control of our company or changes in our management and, therefore, depress the trading price of our common stock.</w:t>
      </w:r>
    </w:p>
    <w:p>
      <w:pPr>
        <w:jc w:val="both"/>
        <w:spacing w:after="0" w:line="266" w:lineRule="auto"/>
        <w:rPr>
          <w:sz w:val="20"/>
          <w:szCs w:val="20"/>
          <w:color w:val="auto"/>
        </w:rPr>
      </w:pPr>
      <w:r>
        <w:rPr>
          <w:rFonts w:ascii="Times New Roman" w:cs="Times New Roman" w:eastAsia="Times New Roman" w:hAnsi="Times New Roman"/>
          <w:sz w:val="14"/>
          <w:szCs w:val="14"/>
          <w:color w:val="auto"/>
        </w:rPr>
        <w:t>Delaware corporate law and our certificate of incorporation and bylaws contain provisions that could discourage, delay or prevent a change in control of our company or changes in our management that the stockholders of our company may deem advantageous. These provisions:</w:t>
      </w:r>
    </w:p>
    <w:p>
      <w:pPr>
        <w:spacing w:after="0" w:line="159" w:lineRule="exact"/>
        <w:rPr>
          <w:sz w:val="20"/>
          <w:szCs w:val="20"/>
          <w:color w:val="auto"/>
        </w:rPr>
      </w:pPr>
    </w:p>
    <w:p>
      <w:pPr>
        <w:ind w:left="520" w:right="60" w:hanging="260"/>
        <w:spacing w:after="0" w:line="263"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transition from a classified board of directors to a declassified board of directors, such that, until the annual shareholder meeting in 2024, not all members of our board are elected at one time;</w:t>
      </w: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directors may only be removed “for cause” and only with the approval of 66.7% of our stockholders;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super-majority voting to amend some provisions in our certificate of incorporation and bylaws;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the issuance of “blank check” preferred stock that our board could issue to increase the number of outstanding shares and to discourage a takeover attempt;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ability of our stockholders to call special meetings of stockholders;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stockholder action by written consent, which requires all stockholder actions to be taken at a meeting of our stockholders;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the board of directors is expressly authorized to make, alter or repeal our bylaws;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for nominations for election to our board or for proposing matters that can be acted upon by stockholders at stockholder meetings.</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Section 203 of the Delaware General Corporation Law may discourage, delay or prevent a change in control of our company. Also, each of our named executive officers and certain other executives of the company have entered into change of control severance agreements, which were approved by our Compensation Committee, which could increase the costs associated with a change of control and thus potentially deter such a transaction.</w:t>
      </w:r>
    </w:p>
    <w:p>
      <w:pPr>
        <w:spacing w:after="0" w:line="15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4"/>
          <w:szCs w:val="14"/>
          <w:b w:val="1"/>
          <w:bCs w:val="1"/>
          <w:i w:val="1"/>
          <w:iCs w:val="1"/>
          <w:color w:val="auto"/>
        </w:rPr>
        <w:t>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1C:</w:t>
      </w:r>
      <w:r>
        <w:rPr>
          <w:sz w:val="20"/>
          <w:szCs w:val="20"/>
          <w:color w:val="auto"/>
        </w:rPr>
        <w:tab/>
      </w:r>
      <w:r>
        <w:rPr>
          <w:rFonts w:ascii="Times New Roman" w:cs="Times New Roman" w:eastAsia="Times New Roman" w:hAnsi="Times New Roman"/>
          <w:sz w:val="14"/>
          <w:szCs w:val="14"/>
          <w:b w:val="1"/>
          <w:bCs w:val="1"/>
          <w:i w:val="1"/>
          <w:iCs w:val="1"/>
          <w:color w:val="auto"/>
        </w:rPr>
        <w:t>Cybersecurity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 Management and Strategy</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recognize the importance of assessing, identifying, and managing material risks associated with cybersecurity threats. These risks include, among other things, operational risks; intellectual property theft; fraud; extortion; harm to our employees or customers; violation of applicable privacy or security laws and other litigation and legal risk; and reputational risks.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 Material Risks &amp; Integrated Overall Risks</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maintain an incident response plan to coordinate the activities we take to protect against, detect, respond to, mitigate the impact of, and remediate cybersecurity incidents, as well as to comply with applicable legal obligations and mitigate reputational damage.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strategically integrated cybersecurity risk management into our broader risk management framework to promote company-wide awareness of the importance of cybersecurity risk management. This integration ensures that cybersecurity considerations are incorporated in our strategic and operational decision-making processes. Our management team works closely with our Information Technology (“IT”) team to continuously evaluate and address cybersecurity risks to ensure these efforts are in alignment with our business objectives and operational needs. We have implemented several cybersecurity processes, technologies, and controls to aid in our efforts to identify, assess, and manage material risks, as well as to test and improve our incident response plan. Our approach includes, among other things: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1" w:name="page22"/>
    <w:bookmarkEnd w:id="21"/>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regular network and endpoint monitoring, vulnerability assessments, and penetration testing to improve our information systems;</w:t>
      </w:r>
    </w:p>
    <w:p>
      <w:pPr>
        <w:spacing w:after="0" w:line="23" w:lineRule="exact"/>
        <w:rPr>
          <w:rFonts w:ascii="Times New Roman" w:cs="Times New Roman" w:eastAsia="Times New Roman" w:hAnsi="Times New Roman"/>
          <w:sz w:val="14"/>
          <w:szCs w:val="14"/>
          <w:color w:val="auto"/>
        </w:rPr>
      </w:pPr>
    </w:p>
    <w:p>
      <w:pPr>
        <w:ind w:left="520" w:right="280" w:hanging="260"/>
        <w:spacing w:after="0" w:line="253"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regular cybersecurity training for employees, including management, and conducting regular cybersecurity management and incident training for employees involved in execution of our incident response plan;</w:t>
      </w: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comparing our processes to standards set by the National Institute of Standards and Technology (“NIST”);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leveraging the NIST incident handling framework to help us identify, protect, detect, respond, and recover when there is an actual or potential cybersecurity incident;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threat intelligence processes designed to model and research our adversaries;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monitoring emerging data protection laws and implementing changes to our processes designed to comply;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regular phishing email simulations for all employees and all contractors with access to corporate email systems to enhance awareness and responsiveness to such possible threats;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policy, practice and contract (as applicable) requiring employees, as well as third-parties who provide services on our behalf, to treat customer information and data with care;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information security risk insurance that provides protection against the potential losses arising from a cybersecurity incident; and</w:t>
      </w:r>
    </w:p>
    <w:p>
      <w:pPr>
        <w:spacing w:after="0" w:line="8" w:lineRule="exact"/>
        <w:rPr>
          <w:rFonts w:ascii="Times New Roman" w:cs="Times New Roman" w:eastAsia="Times New Roman" w:hAnsi="Times New Roman"/>
          <w:sz w:val="14"/>
          <w:szCs w:val="14"/>
          <w:color w:val="auto"/>
        </w:rPr>
      </w:pPr>
    </w:p>
    <w:p>
      <w:pPr>
        <w:ind w:left="520" w:right="100" w:hanging="260"/>
        <w:spacing w:after="0" w:line="266"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leveraging third-party score cards within our supply chain to regularly evaluate and report on our cybersecurity environment, including by integrating certain metrics into our corporate goal setting processes.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approaches vary in maturity across the business, and we work continually to improve them.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Engage Third Parties on Risk Management</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Recognizing the complexity and evolving nature of cybersecurity threats, we engage with a range of external experts, including cybersecurity assessors, consultants, and auditors in evaluating and testing our cybersecurity environment. These partnerships enable us to leverage specialized knowledge and insights, ensuring our cybersecurity strategies and processes are responsive to our identified risks. Our collaboration with these third parties include regular audits, threat assessments, and consultation on security enhancements.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Oversee Third-party Risk</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aware of and have processes in place to manage and mitigate the risks associated with third-party service providers. As needed in connection with certain third-party providers, we conduct risk-based diligence and assessment before engagement, implement contractual security provisions and maintain ongoing monitoring to ensure compliance with applicable cybersecurity standards or requirements.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from Cybersecurity Threats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not experienced any material cybersecurity incidents, and the expenses we have incurred from cybersecurity incidents were immaterial.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Governance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Board is acutely aware of the critical nature of managing risks associated with cybersecurity threats. The Board has established oversight mechanisms to ensure effective governance in managing risks associated with cybersecurity threats because we recognize the potential significance of these threats to our operational integrity and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 Oversight</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Governance and Nominating Committee is central to the Board’s oversight of cybersecurity risks and bears the primary responsibility for this domain. The Governance and Nominating Committee and the Board are composed of Board members with diverse expertise including, risk management, technology, and finance, equipping them to oversee cybersecurity risks effectively.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Role Managing Risk</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The management team provides comprehensive briefings to the Governance and Nominating Committee of our Board on a regular basis, with a minimum frequency of once per year. These briefings encompass a broad range of topics as discussed in </w:t>
      </w:r>
      <w:r>
        <w:rPr>
          <w:rFonts w:ascii="Times New Roman" w:cs="Times New Roman" w:eastAsia="Times New Roman" w:hAnsi="Times New Roman"/>
          <w:sz w:val="14"/>
          <w:szCs w:val="14"/>
          <w:i w:val="1"/>
          <w:iCs w:val="1"/>
          <w:color w:val="auto"/>
        </w:rPr>
        <w:t>Reporting to Board of Directors</w:t>
      </w:r>
      <w:r>
        <w:rPr>
          <w:rFonts w:ascii="Times New Roman" w:cs="Times New Roman" w:eastAsia="Times New Roman" w:hAnsi="Times New Roman"/>
          <w:sz w:val="14"/>
          <w:szCs w:val="14"/>
          <w:color w:val="auto"/>
        </w:rPr>
        <w:t xml:space="preserve"> below.</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the IT team maintains an ongoing dialog with our management team regarding emerging or potential cybersecurity risks. The management team receives updates on any significant developments in the cybersecurity domain, ensuring oversight is proactive and responsive. This involvement ensures that cybersecurity considerations are integrated into our broader strategic objectives.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i w:val="1"/>
          <w:iCs w:val="1"/>
          <w:color w:val="auto"/>
        </w:rPr>
        <w:t>Risk Management Personnel</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Chief Information Officer is primarily responsible for the overall assessment, monitoring, and management of our cybersecurity risks. Our Chief Information Officer has over 20 years of experience in information technology and holds a B.S. in accounting and management information systems. Our management team members are responsible for the management of cybersecurity risks within their respective functions. Our management team includes the Chief Financial Officer, Chief Executive Officer, and leaders of our business units and functions. Collectively their backgrounds include a wealth of expertise relevant to their roles.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Monitor Cybersecurity Incidents</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Chief Information Officer and executive management team are informed about the latest developments in cybersecurity, including risk management techniques, as well as significant potential threats, through their ongoing management of and participation in the cybersecurity risk management processes described above. This ongoing knowledge is crucial for the effective prevention, detection, mitigation, and remediation of cybersecurity incidents. The Chief Information Officer implements and oversees processes for the regular monitoring of our information systems. This includes the deployment of security measures and system audits to identify potential vulnerabilities.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Reporting to the Board of Directors</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Chief Information Officer regularly informs the Chief Financial Officer and Chief Executive Officer of critical aspects related to cybersecurity risks and incidents. This ensures that the highest levels of management are kept abreast of the Company’s cybersecurity posture and potential risks. The Governance and Nominating Committee receives regular updates from management on cybersecurity risk, including:</w:t>
      </w:r>
    </w:p>
    <w:p>
      <w:pPr>
        <w:spacing w:after="0" w:line="165"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cybersecurity landscape and emerging threats;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status of ongoing cybersecurity initiatives and strategies;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incident reporting and learnings from any cybersecurity events;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regarding the effectiveness of the Company’s cybersecurity awareness program;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regulatory requirements and industry standards.</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such updates, the Governance and Nominating Committee generally receives materials including a cybersecurity scorecard and other materials indicating current and emerging cybersecurity threat risks and describing our ability to mitigate those risks, and discusses such matters with our Chief Information Officer.</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Significant cybersecurity matters, and strategic risk management decisions are escalated to the Board, ensuring that they have comprehensive oversight and can provide guidance on critical cybersecurity matters.</w:t>
      </w:r>
    </w:p>
    <w:p>
      <w:pPr>
        <w:spacing w:after="0" w:line="1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i w:val="1"/>
          <w:iCs w:val="1"/>
          <w:color w:val="auto"/>
        </w:rPr>
        <w:t>Properties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corporate headquarters, which includes sales, marketing, administration, manufacturing, engineering, and research and development facilities, is located in Livermore, California, United States. Our corporate headquarters comprises a campus of five buildings totaling approximately 259,000 square feet. We presently lease four of the buildings and own one of the buildings. Adjacent to our campus we own approximately 6 acres of vacant land for future expansion. In addition, we lease office, repair and service, manufacturing and/or research and development space both inside and outside of the United States. The leases expire at various times through 2034. We believe that our existing and planned facilities are suitable for our current needs.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color w:val="auto"/>
        </w:rPr>
        <w:t>Information concerning our properties as of December 30, 2023 is set forth below:</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00" w:type="dxa"/>
            <w:vAlign w:val="bottom"/>
            <w:vMerge w:val="restart"/>
          </w:tcPr>
          <w:p>
            <w:pPr>
              <w:ind w:left="1200"/>
              <w:spacing w:after="0"/>
              <w:rPr>
                <w:sz w:val="20"/>
                <w:szCs w:val="20"/>
                <w:color w:val="auto"/>
              </w:rPr>
            </w:pPr>
            <w:r>
              <w:rPr>
                <w:rFonts w:ascii="Times New Roman" w:cs="Times New Roman" w:eastAsia="Times New Roman" w:hAnsi="Times New Roman"/>
                <w:sz w:val="11"/>
                <w:szCs w:val="11"/>
                <w:b w:val="1"/>
                <w:bCs w:val="1"/>
                <w:color w:val="auto"/>
              </w:rPr>
              <w:t>Location</w:t>
            </w:r>
          </w:p>
        </w:tc>
        <w:tc>
          <w:tcPr>
            <w:tcW w:w="5540" w:type="dxa"/>
            <w:vAlign w:val="bottom"/>
            <w:vMerge w:val="restart"/>
          </w:tcPr>
          <w:p>
            <w:pPr>
              <w:ind w:left="2540"/>
              <w:spacing w:after="0"/>
              <w:rPr>
                <w:sz w:val="20"/>
                <w:szCs w:val="20"/>
                <w:color w:val="auto"/>
              </w:rPr>
            </w:pPr>
            <w:r>
              <w:rPr>
                <w:rFonts w:ascii="Times New Roman" w:cs="Times New Roman" w:eastAsia="Times New Roman" w:hAnsi="Times New Roman"/>
                <w:sz w:val="11"/>
                <w:szCs w:val="11"/>
                <w:b w:val="1"/>
                <w:bCs w:val="1"/>
                <w:color w:val="auto"/>
              </w:rPr>
              <w:t>Principal Use</w:t>
            </w:r>
          </w:p>
        </w:tc>
        <w:tc>
          <w:tcPr>
            <w:tcW w:w="1100" w:type="dxa"/>
            <w:vAlign w:val="bottom"/>
            <w:vMerge w:val="restart"/>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rPr>
              <w:t>Segment</w:t>
            </w:r>
          </w:p>
        </w:tc>
        <w:tc>
          <w:tcPr>
            <w:tcW w:w="110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Square</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Ownership</w:t>
            </w:r>
          </w:p>
        </w:tc>
        <w:tc>
          <w:tcPr>
            <w:tcW w:w="0" w:type="dxa"/>
            <w:vAlign w:val="bottom"/>
          </w:tcPr>
          <w:p>
            <w:pPr>
              <w:spacing w:after="0"/>
              <w:rPr>
                <w:sz w:val="1"/>
                <w:szCs w:val="1"/>
                <w:color w:val="auto"/>
              </w:rPr>
            </w:pPr>
          </w:p>
        </w:tc>
      </w:tr>
      <w:tr>
        <w:trPr>
          <w:trHeight w:val="153"/>
        </w:trPr>
        <w:tc>
          <w:tcPr>
            <w:tcW w:w="2600" w:type="dxa"/>
            <w:vAlign w:val="bottom"/>
            <w:vMerge w:val="continue"/>
          </w:tcPr>
          <w:p>
            <w:pPr>
              <w:spacing w:after="0"/>
              <w:rPr>
                <w:sz w:val="13"/>
                <w:szCs w:val="13"/>
                <w:color w:val="auto"/>
              </w:rPr>
            </w:pPr>
          </w:p>
        </w:tc>
        <w:tc>
          <w:tcPr>
            <w:tcW w:w="554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10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Footage</w:t>
            </w: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Livermore, California, United States</w:t>
            </w:r>
          </w:p>
        </w:tc>
        <w:tc>
          <w:tcPr>
            <w:tcW w:w="5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Manufacturing</w:t>
            </w:r>
          </w:p>
        </w:tc>
        <w:tc>
          <w:tcPr>
            <w:tcW w:w="11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4"/>
                <w:szCs w:val="14"/>
                <w:color w:val="auto"/>
              </w:rPr>
              <w:t>Probe Cards</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90,508</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38"/>
        </w:trPr>
        <w:tc>
          <w:tcPr>
            <w:tcW w:w="26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Livermore, California, United States</w:t>
            </w:r>
          </w:p>
        </w:tc>
        <w:tc>
          <w:tcPr>
            <w:tcW w:w="5540" w:type="dxa"/>
            <w:vAlign w:val="bottom"/>
          </w:tcPr>
          <w:p>
            <w:pPr>
              <w:ind w:left="320"/>
              <w:spacing w:after="0" w:line="138" w:lineRule="exact"/>
              <w:rPr>
                <w:sz w:val="20"/>
                <w:szCs w:val="20"/>
                <w:color w:val="auto"/>
              </w:rPr>
            </w:pPr>
            <w:r>
              <w:rPr>
                <w:rFonts w:ascii="Times New Roman" w:cs="Times New Roman" w:eastAsia="Times New Roman" w:hAnsi="Times New Roman"/>
                <w:sz w:val="14"/>
                <w:szCs w:val="14"/>
                <w:color w:val="auto"/>
              </w:rPr>
              <w:t>Corporate headquarters, sales, marketing, administration, product design, manufacturing,</w:t>
            </w:r>
          </w:p>
        </w:tc>
        <w:tc>
          <w:tcPr>
            <w:tcW w:w="1100" w:type="dxa"/>
            <w:vAlign w:val="bottom"/>
          </w:tcPr>
          <w:p>
            <w:pPr>
              <w:jc w:val="center"/>
              <w:ind w:right="50"/>
              <w:spacing w:after="0" w:line="138" w:lineRule="exact"/>
              <w:rPr>
                <w:sz w:val="20"/>
                <w:szCs w:val="20"/>
                <w:color w:val="auto"/>
              </w:rPr>
            </w:pPr>
            <w:r>
              <w:rPr>
                <w:rFonts w:ascii="Times New Roman" w:cs="Times New Roman" w:eastAsia="Times New Roman" w:hAnsi="Times New Roman"/>
                <w:sz w:val="14"/>
                <w:szCs w:val="14"/>
                <w:color w:val="auto"/>
              </w:rPr>
              <w:t>All</w:t>
            </w:r>
          </w:p>
        </w:tc>
        <w:tc>
          <w:tcPr>
            <w:tcW w:w="1100" w:type="dxa"/>
            <w:vAlign w:val="bottom"/>
          </w:tcPr>
          <w:p>
            <w:pPr>
              <w:jc w:val="right"/>
              <w:ind w:right="131"/>
              <w:spacing w:after="0" w:line="138" w:lineRule="exact"/>
              <w:rPr>
                <w:sz w:val="20"/>
                <w:szCs w:val="20"/>
                <w:color w:val="auto"/>
              </w:rPr>
            </w:pPr>
            <w:r>
              <w:rPr>
                <w:rFonts w:ascii="Times New Roman" w:cs="Times New Roman" w:eastAsia="Times New Roman" w:hAnsi="Times New Roman"/>
                <w:sz w:val="14"/>
                <w:szCs w:val="14"/>
                <w:color w:val="auto"/>
              </w:rPr>
              <w:t>168,636</w:t>
            </w:r>
          </w:p>
        </w:tc>
        <w:tc>
          <w:tcPr>
            <w:tcW w:w="9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87"/>
        </w:trPr>
        <w:tc>
          <w:tcPr>
            <w:tcW w:w="2600" w:type="dxa"/>
            <w:vAlign w:val="bottom"/>
          </w:tcPr>
          <w:p>
            <w:pPr>
              <w:spacing w:after="0"/>
              <w:rPr>
                <w:sz w:val="16"/>
                <w:szCs w:val="16"/>
                <w:color w:val="auto"/>
              </w:rPr>
            </w:pPr>
          </w:p>
        </w:tc>
        <w:tc>
          <w:tcPr>
            <w:tcW w:w="5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service and repair, distribution, research and development</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60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Thiendorf, Germany</w:t>
            </w:r>
          </w:p>
        </w:tc>
        <w:tc>
          <w:tcPr>
            <w:tcW w:w="5540" w:type="dxa"/>
            <w:vAlign w:val="bottom"/>
            <w:shd w:val="clear" w:color="auto" w:fill="CCEEFF"/>
          </w:tcPr>
          <w:p>
            <w:pPr>
              <w:ind w:left="320"/>
              <w:spacing w:after="0" w:line="141" w:lineRule="exact"/>
              <w:rPr>
                <w:sz w:val="20"/>
                <w:szCs w:val="20"/>
                <w:color w:val="auto"/>
              </w:rPr>
            </w:pPr>
            <w:r>
              <w:rPr>
                <w:rFonts w:ascii="Times New Roman" w:cs="Times New Roman" w:eastAsia="Times New Roman" w:hAnsi="Times New Roman"/>
                <w:sz w:val="14"/>
                <w:szCs w:val="14"/>
                <w:color w:val="auto"/>
              </w:rPr>
              <w:t>Sales, marketing, administration, manufacturing, service and repair, distribution, research</w:t>
            </w:r>
          </w:p>
        </w:tc>
        <w:tc>
          <w:tcPr>
            <w:tcW w:w="1100" w:type="dxa"/>
            <w:vAlign w:val="bottom"/>
            <w:shd w:val="clear" w:color="auto" w:fill="CCEEFF"/>
          </w:tcPr>
          <w:p>
            <w:pPr>
              <w:jc w:val="center"/>
              <w:ind w:right="70"/>
              <w:spacing w:after="0" w:line="141" w:lineRule="exact"/>
              <w:rPr>
                <w:sz w:val="20"/>
                <w:szCs w:val="20"/>
                <w:color w:val="auto"/>
              </w:rPr>
            </w:pPr>
            <w:r>
              <w:rPr>
                <w:rFonts w:ascii="Times New Roman" w:cs="Times New Roman" w:eastAsia="Times New Roman" w:hAnsi="Times New Roman"/>
                <w:sz w:val="14"/>
                <w:szCs w:val="14"/>
                <w:color w:val="auto"/>
              </w:rPr>
              <w:t>Systems</w:t>
            </w:r>
          </w:p>
        </w:tc>
        <w:tc>
          <w:tcPr>
            <w:tcW w:w="1100" w:type="dxa"/>
            <w:vAlign w:val="bottom"/>
            <w:shd w:val="clear" w:color="auto" w:fill="CCEEFF"/>
          </w:tcPr>
          <w:p>
            <w:pPr>
              <w:jc w:val="right"/>
              <w:ind w:right="131"/>
              <w:spacing w:after="0" w:line="141" w:lineRule="exact"/>
              <w:rPr>
                <w:sz w:val="20"/>
                <w:szCs w:val="20"/>
                <w:color w:val="auto"/>
              </w:rPr>
            </w:pPr>
            <w:r>
              <w:rPr>
                <w:rFonts w:ascii="Times New Roman" w:cs="Times New Roman" w:eastAsia="Times New Roman" w:hAnsi="Times New Roman"/>
                <w:sz w:val="14"/>
                <w:szCs w:val="14"/>
                <w:color w:val="auto"/>
              </w:rPr>
              <w:t>101,291</w:t>
            </w:r>
          </w:p>
        </w:tc>
        <w:tc>
          <w:tcPr>
            <w:tcW w:w="94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91"/>
        </w:trPr>
        <w:tc>
          <w:tcPr>
            <w:tcW w:w="2600" w:type="dxa"/>
            <w:vAlign w:val="bottom"/>
            <w:shd w:val="clear" w:color="auto" w:fill="CCEEFF"/>
          </w:tcPr>
          <w:p>
            <w:pPr>
              <w:spacing w:after="0"/>
              <w:rPr>
                <w:sz w:val="16"/>
                <w:szCs w:val="16"/>
                <w:color w:val="auto"/>
              </w:rPr>
            </w:pPr>
          </w:p>
        </w:tc>
        <w:tc>
          <w:tcPr>
            <w:tcW w:w="5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and development</w:t>
            </w:r>
          </w:p>
        </w:tc>
        <w:tc>
          <w:tcPr>
            <w:tcW w:w="1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Beaverton, Oregon, United States</w:t>
            </w:r>
          </w:p>
        </w:tc>
        <w:tc>
          <w:tcPr>
            <w:tcW w:w="5540" w:type="dxa"/>
            <w:vAlign w:val="bottom"/>
          </w:tcPr>
          <w:p>
            <w:pPr>
              <w:ind w:left="320"/>
              <w:spacing w:after="0" w:line="138" w:lineRule="exact"/>
              <w:rPr>
                <w:sz w:val="20"/>
                <w:szCs w:val="20"/>
                <w:color w:val="auto"/>
              </w:rPr>
            </w:pPr>
            <w:r>
              <w:rPr>
                <w:rFonts w:ascii="Times New Roman" w:cs="Times New Roman" w:eastAsia="Times New Roman" w:hAnsi="Times New Roman"/>
                <w:sz w:val="14"/>
                <w:szCs w:val="14"/>
                <w:color w:val="auto"/>
              </w:rPr>
              <w:t>Sales, marketing, administration, product design, manufacturing, service and repair,</w:t>
            </w:r>
          </w:p>
        </w:tc>
        <w:tc>
          <w:tcPr>
            <w:tcW w:w="1100" w:type="dxa"/>
            <w:vAlign w:val="bottom"/>
          </w:tcPr>
          <w:p>
            <w:pPr>
              <w:jc w:val="center"/>
              <w:ind w:right="50"/>
              <w:spacing w:after="0" w:line="138" w:lineRule="exact"/>
              <w:rPr>
                <w:sz w:val="20"/>
                <w:szCs w:val="20"/>
                <w:color w:val="auto"/>
              </w:rPr>
            </w:pPr>
            <w:r>
              <w:rPr>
                <w:rFonts w:ascii="Times New Roman" w:cs="Times New Roman" w:eastAsia="Times New Roman" w:hAnsi="Times New Roman"/>
                <w:sz w:val="14"/>
                <w:szCs w:val="14"/>
                <w:color w:val="auto"/>
              </w:rPr>
              <w:t>Probe Cards</w:t>
            </w:r>
          </w:p>
        </w:tc>
        <w:tc>
          <w:tcPr>
            <w:tcW w:w="1100" w:type="dxa"/>
            <w:vAlign w:val="bottom"/>
          </w:tcPr>
          <w:p>
            <w:pPr>
              <w:jc w:val="right"/>
              <w:ind w:right="131"/>
              <w:spacing w:after="0" w:line="138" w:lineRule="exact"/>
              <w:rPr>
                <w:sz w:val="20"/>
                <w:szCs w:val="20"/>
                <w:color w:val="auto"/>
              </w:rPr>
            </w:pPr>
            <w:r>
              <w:rPr>
                <w:rFonts w:ascii="Times New Roman" w:cs="Times New Roman" w:eastAsia="Times New Roman" w:hAnsi="Times New Roman"/>
                <w:sz w:val="14"/>
                <w:szCs w:val="14"/>
                <w:color w:val="auto"/>
              </w:rPr>
              <w:t>101,205</w:t>
            </w:r>
          </w:p>
        </w:tc>
        <w:tc>
          <w:tcPr>
            <w:tcW w:w="9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87"/>
        </w:trPr>
        <w:tc>
          <w:tcPr>
            <w:tcW w:w="2600" w:type="dxa"/>
            <w:vAlign w:val="bottom"/>
          </w:tcPr>
          <w:p>
            <w:pPr>
              <w:spacing w:after="0"/>
              <w:rPr>
                <w:sz w:val="16"/>
                <w:szCs w:val="16"/>
                <w:color w:val="auto"/>
              </w:rPr>
            </w:pPr>
          </w:p>
        </w:tc>
        <w:tc>
          <w:tcPr>
            <w:tcW w:w="5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distribution, research and development</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Baldwin Park, California, United States</w:t>
            </w:r>
          </w:p>
        </w:tc>
        <w:tc>
          <w:tcPr>
            <w:tcW w:w="5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Manufacturing, service and repair, distribution, research and development</w:t>
            </w:r>
          </w:p>
        </w:tc>
        <w:tc>
          <w:tcPr>
            <w:tcW w:w="11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4"/>
                <w:szCs w:val="14"/>
                <w:color w:val="auto"/>
              </w:rPr>
              <w:t>Probe Cards</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44,000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8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Boulder, Colorado, United States</w:t>
            </w:r>
          </w:p>
        </w:tc>
        <w:tc>
          <w:tcPr>
            <w:tcW w:w="5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Sales, marketing, administration, manufacturing, distribution, research and development</w:t>
            </w: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rPr>
              <w:t>Systems</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34,133</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38"/>
        </w:trPr>
        <w:tc>
          <w:tcPr>
            <w:tcW w:w="26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Carlsbad, California, United States</w:t>
            </w:r>
          </w:p>
        </w:tc>
        <w:tc>
          <w:tcPr>
            <w:tcW w:w="5540" w:type="dxa"/>
            <w:vAlign w:val="bottom"/>
            <w:shd w:val="clear" w:color="auto" w:fill="CCEEFF"/>
          </w:tcPr>
          <w:p>
            <w:pPr>
              <w:ind w:left="320"/>
              <w:spacing w:after="0" w:line="138" w:lineRule="exact"/>
              <w:rPr>
                <w:sz w:val="20"/>
                <w:szCs w:val="20"/>
                <w:color w:val="auto"/>
              </w:rPr>
            </w:pPr>
            <w:r>
              <w:rPr>
                <w:rFonts w:ascii="Times New Roman" w:cs="Times New Roman" w:eastAsia="Times New Roman" w:hAnsi="Times New Roman"/>
                <w:sz w:val="14"/>
                <w:szCs w:val="14"/>
                <w:color w:val="auto"/>
              </w:rPr>
              <w:t>Sales, product design, administration, manufacturing, service and repair, distribution,</w:t>
            </w:r>
          </w:p>
        </w:tc>
        <w:tc>
          <w:tcPr>
            <w:tcW w:w="1100" w:type="dxa"/>
            <w:vAlign w:val="bottom"/>
            <w:shd w:val="clear" w:color="auto" w:fill="CCEEFF"/>
          </w:tcPr>
          <w:p>
            <w:pPr>
              <w:jc w:val="center"/>
              <w:ind w:right="50"/>
              <w:spacing w:after="0" w:line="138" w:lineRule="exact"/>
              <w:rPr>
                <w:sz w:val="20"/>
                <w:szCs w:val="20"/>
                <w:color w:val="auto"/>
              </w:rPr>
            </w:pPr>
            <w:r>
              <w:rPr>
                <w:rFonts w:ascii="Times New Roman" w:cs="Times New Roman" w:eastAsia="Times New Roman" w:hAnsi="Times New Roman"/>
                <w:sz w:val="14"/>
                <w:szCs w:val="14"/>
                <w:color w:val="auto"/>
              </w:rPr>
              <w:t>Probe Cards</w:t>
            </w:r>
          </w:p>
        </w:tc>
        <w:tc>
          <w:tcPr>
            <w:tcW w:w="1100" w:type="dxa"/>
            <w:vAlign w:val="bottom"/>
            <w:shd w:val="clear" w:color="auto" w:fill="CCEEFF"/>
          </w:tcPr>
          <w:p>
            <w:pPr>
              <w:jc w:val="right"/>
              <w:ind w:right="131"/>
              <w:spacing w:after="0" w:line="138" w:lineRule="exact"/>
              <w:rPr>
                <w:sz w:val="20"/>
                <w:szCs w:val="20"/>
                <w:color w:val="auto"/>
              </w:rPr>
            </w:pPr>
            <w:r>
              <w:rPr>
                <w:rFonts w:ascii="Times New Roman" w:cs="Times New Roman" w:eastAsia="Times New Roman" w:hAnsi="Times New Roman"/>
                <w:sz w:val="14"/>
                <w:szCs w:val="14"/>
                <w:color w:val="auto"/>
              </w:rPr>
              <w:t>42,080</w:t>
            </w:r>
          </w:p>
        </w:tc>
        <w:tc>
          <w:tcPr>
            <w:tcW w:w="94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91"/>
        </w:trPr>
        <w:tc>
          <w:tcPr>
            <w:tcW w:w="2600" w:type="dxa"/>
            <w:vAlign w:val="bottom"/>
            <w:shd w:val="clear" w:color="auto" w:fill="CCEEFF"/>
          </w:tcPr>
          <w:p>
            <w:pPr>
              <w:spacing w:after="0"/>
              <w:rPr>
                <w:sz w:val="16"/>
                <w:szCs w:val="16"/>
                <w:color w:val="auto"/>
              </w:rPr>
            </w:pPr>
          </w:p>
        </w:tc>
        <w:tc>
          <w:tcPr>
            <w:tcW w:w="5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Woburn, Massachusetts, United States</w:t>
            </w:r>
          </w:p>
        </w:tc>
        <w:tc>
          <w:tcPr>
            <w:tcW w:w="5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Sales, marketing, administration, manufacturing, distribution, research and development</w:t>
            </w: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rPr>
              <w:t>Systems</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26,070</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Jubei City, Hsinchu, Taiwan</w:t>
            </w:r>
          </w:p>
        </w:tc>
        <w:tc>
          <w:tcPr>
            <w:tcW w:w="5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Sales, administration, product design, field service and repair center</w:t>
            </w:r>
          </w:p>
        </w:tc>
        <w:tc>
          <w:tcPr>
            <w:tcW w:w="11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4"/>
                <w:szCs w:val="14"/>
                <w:color w:val="auto"/>
              </w:rPr>
              <w:t>All</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25,631</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8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5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Sales, administration, product design, service, and field service</w:t>
            </w: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rPr>
              <w:t>All</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24,413</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38"/>
        </w:trPr>
        <w:tc>
          <w:tcPr>
            <w:tcW w:w="26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2"/>
                <w:szCs w:val="12"/>
                <w:color w:val="auto"/>
              </w:rPr>
              <w:t>Suzhou, China</w:t>
            </w:r>
            <w:r>
              <w:rPr>
                <w:rFonts w:ascii="Times New Roman" w:cs="Times New Roman" w:eastAsia="Times New Roman" w:hAnsi="Times New Roman"/>
                <w:sz w:val="15"/>
                <w:szCs w:val="15"/>
                <w:color w:val="auto"/>
                <w:vertAlign w:val="superscript"/>
              </w:rPr>
              <w:t>(1)</w:t>
            </w:r>
          </w:p>
        </w:tc>
        <w:tc>
          <w:tcPr>
            <w:tcW w:w="5540" w:type="dxa"/>
            <w:vAlign w:val="bottom"/>
            <w:shd w:val="clear" w:color="auto" w:fill="CCEEFF"/>
          </w:tcPr>
          <w:p>
            <w:pPr>
              <w:ind w:left="320"/>
              <w:spacing w:after="0" w:line="138" w:lineRule="exact"/>
              <w:rPr>
                <w:sz w:val="20"/>
                <w:szCs w:val="20"/>
                <w:color w:val="auto"/>
              </w:rPr>
            </w:pPr>
            <w:r>
              <w:rPr>
                <w:rFonts w:ascii="Times New Roman" w:cs="Times New Roman" w:eastAsia="Times New Roman" w:hAnsi="Times New Roman"/>
                <w:sz w:val="14"/>
                <w:szCs w:val="14"/>
                <w:color w:val="auto"/>
              </w:rPr>
              <w:t>Sales, marketing, administration, product design, manufacturing, service and repair,</w:t>
            </w:r>
          </w:p>
        </w:tc>
        <w:tc>
          <w:tcPr>
            <w:tcW w:w="1100" w:type="dxa"/>
            <w:vAlign w:val="bottom"/>
            <w:shd w:val="clear" w:color="auto" w:fill="CCEEFF"/>
          </w:tcPr>
          <w:p>
            <w:pPr>
              <w:jc w:val="center"/>
              <w:ind w:right="50"/>
              <w:spacing w:after="0" w:line="138" w:lineRule="exact"/>
              <w:rPr>
                <w:sz w:val="20"/>
                <w:szCs w:val="20"/>
                <w:color w:val="auto"/>
              </w:rPr>
            </w:pPr>
            <w:r>
              <w:rPr>
                <w:rFonts w:ascii="Times New Roman" w:cs="Times New Roman" w:eastAsia="Times New Roman" w:hAnsi="Times New Roman"/>
                <w:sz w:val="14"/>
                <w:szCs w:val="14"/>
                <w:color w:val="auto"/>
              </w:rPr>
              <w:t>All</w:t>
            </w:r>
          </w:p>
        </w:tc>
        <w:tc>
          <w:tcPr>
            <w:tcW w:w="1100" w:type="dxa"/>
            <w:vAlign w:val="bottom"/>
            <w:shd w:val="clear" w:color="auto" w:fill="CCEEFF"/>
          </w:tcPr>
          <w:p>
            <w:pPr>
              <w:jc w:val="right"/>
              <w:ind w:right="131"/>
              <w:spacing w:after="0" w:line="138" w:lineRule="exact"/>
              <w:rPr>
                <w:sz w:val="20"/>
                <w:szCs w:val="20"/>
                <w:color w:val="auto"/>
              </w:rPr>
            </w:pPr>
            <w:r>
              <w:rPr>
                <w:rFonts w:ascii="Times New Roman" w:cs="Times New Roman" w:eastAsia="Times New Roman" w:hAnsi="Times New Roman"/>
                <w:sz w:val="14"/>
                <w:szCs w:val="14"/>
                <w:color w:val="auto"/>
              </w:rPr>
              <w:t>22,777</w:t>
            </w:r>
          </w:p>
        </w:tc>
        <w:tc>
          <w:tcPr>
            <w:tcW w:w="94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91"/>
        </w:trPr>
        <w:tc>
          <w:tcPr>
            <w:tcW w:w="2600" w:type="dxa"/>
            <w:vAlign w:val="bottom"/>
            <w:shd w:val="clear" w:color="auto" w:fill="CCEEFF"/>
          </w:tcPr>
          <w:p>
            <w:pPr>
              <w:spacing w:after="0"/>
              <w:rPr>
                <w:sz w:val="16"/>
                <w:szCs w:val="16"/>
                <w:color w:val="auto"/>
              </w:rPr>
            </w:pPr>
          </w:p>
        </w:tc>
        <w:tc>
          <w:tcPr>
            <w:tcW w:w="5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distribution, research and development</w:t>
            </w:r>
          </w:p>
        </w:tc>
        <w:tc>
          <w:tcPr>
            <w:tcW w:w="1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San Jose, California, United States</w:t>
            </w:r>
          </w:p>
        </w:tc>
        <w:tc>
          <w:tcPr>
            <w:tcW w:w="5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Sales, marketing, and distribution</w:t>
            </w: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rPr>
              <w:t>Systems</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21,489</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Bundang, South Korea</w:t>
            </w:r>
          </w:p>
        </w:tc>
        <w:tc>
          <w:tcPr>
            <w:tcW w:w="5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Sales, administration, product design, field service, and repair center</w:t>
            </w:r>
          </w:p>
        </w:tc>
        <w:tc>
          <w:tcPr>
            <w:tcW w:w="11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4"/>
                <w:szCs w:val="14"/>
                <w:color w:val="auto"/>
              </w:rPr>
              <w:t>All</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17,161</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38"/>
        </w:trPr>
        <w:tc>
          <w:tcPr>
            <w:tcW w:w="26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Yokohama City, Japan</w:t>
            </w:r>
          </w:p>
        </w:tc>
        <w:tc>
          <w:tcPr>
            <w:tcW w:w="5540" w:type="dxa"/>
            <w:vAlign w:val="bottom"/>
          </w:tcPr>
          <w:p>
            <w:pPr>
              <w:ind w:left="320"/>
              <w:spacing w:after="0" w:line="138" w:lineRule="exact"/>
              <w:rPr>
                <w:sz w:val="20"/>
                <w:szCs w:val="20"/>
                <w:color w:val="auto"/>
              </w:rPr>
            </w:pPr>
            <w:r>
              <w:rPr>
                <w:rFonts w:ascii="Times New Roman" w:cs="Times New Roman" w:eastAsia="Times New Roman" w:hAnsi="Times New Roman"/>
                <w:sz w:val="14"/>
                <w:szCs w:val="14"/>
                <w:color w:val="auto"/>
              </w:rPr>
              <w:t>Sales, marketing, administration, product design, manufacturing, service and repair,</w:t>
            </w:r>
          </w:p>
        </w:tc>
        <w:tc>
          <w:tcPr>
            <w:tcW w:w="1100" w:type="dxa"/>
            <w:vAlign w:val="bottom"/>
          </w:tcPr>
          <w:p>
            <w:pPr>
              <w:jc w:val="center"/>
              <w:ind w:right="50"/>
              <w:spacing w:after="0" w:line="138" w:lineRule="exact"/>
              <w:rPr>
                <w:sz w:val="20"/>
                <w:szCs w:val="20"/>
                <w:color w:val="auto"/>
              </w:rPr>
            </w:pPr>
            <w:r>
              <w:rPr>
                <w:rFonts w:ascii="Times New Roman" w:cs="Times New Roman" w:eastAsia="Times New Roman" w:hAnsi="Times New Roman"/>
                <w:sz w:val="14"/>
                <w:szCs w:val="14"/>
                <w:color w:val="auto"/>
              </w:rPr>
              <w:t>All</w:t>
            </w:r>
          </w:p>
        </w:tc>
        <w:tc>
          <w:tcPr>
            <w:tcW w:w="1100" w:type="dxa"/>
            <w:vAlign w:val="bottom"/>
          </w:tcPr>
          <w:p>
            <w:pPr>
              <w:jc w:val="right"/>
              <w:ind w:right="131"/>
              <w:spacing w:after="0" w:line="138" w:lineRule="exact"/>
              <w:rPr>
                <w:sz w:val="20"/>
                <w:szCs w:val="20"/>
                <w:color w:val="auto"/>
              </w:rPr>
            </w:pPr>
            <w:r>
              <w:rPr>
                <w:rFonts w:ascii="Times New Roman" w:cs="Times New Roman" w:eastAsia="Times New Roman" w:hAnsi="Times New Roman"/>
                <w:sz w:val="14"/>
                <w:szCs w:val="14"/>
                <w:color w:val="auto"/>
              </w:rPr>
              <w:t>16,150</w:t>
            </w:r>
          </w:p>
        </w:tc>
        <w:tc>
          <w:tcPr>
            <w:tcW w:w="94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87"/>
        </w:trPr>
        <w:tc>
          <w:tcPr>
            <w:tcW w:w="2600" w:type="dxa"/>
            <w:vAlign w:val="bottom"/>
          </w:tcPr>
          <w:p>
            <w:pPr>
              <w:spacing w:after="0"/>
              <w:rPr>
                <w:sz w:val="16"/>
                <w:szCs w:val="16"/>
                <w:color w:val="auto"/>
              </w:rPr>
            </w:pPr>
          </w:p>
        </w:tc>
        <w:tc>
          <w:tcPr>
            <w:tcW w:w="5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distribution, research and development</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60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Munich, Germany</w:t>
            </w:r>
          </w:p>
        </w:tc>
        <w:tc>
          <w:tcPr>
            <w:tcW w:w="5540" w:type="dxa"/>
            <w:vAlign w:val="bottom"/>
            <w:shd w:val="clear" w:color="auto" w:fill="CCEEFF"/>
          </w:tcPr>
          <w:p>
            <w:pPr>
              <w:ind w:left="320"/>
              <w:spacing w:after="0" w:line="141" w:lineRule="exact"/>
              <w:rPr>
                <w:sz w:val="20"/>
                <w:szCs w:val="20"/>
                <w:color w:val="auto"/>
              </w:rPr>
            </w:pPr>
            <w:r>
              <w:rPr>
                <w:rFonts w:ascii="Times New Roman" w:cs="Times New Roman" w:eastAsia="Times New Roman" w:hAnsi="Times New Roman"/>
                <w:sz w:val="14"/>
                <w:szCs w:val="14"/>
                <w:color w:val="auto"/>
              </w:rPr>
              <w:t>Sales, manufacturing, administration, service and repair, distribution, research and</w:t>
            </w:r>
          </w:p>
        </w:tc>
        <w:tc>
          <w:tcPr>
            <w:tcW w:w="1100" w:type="dxa"/>
            <w:vAlign w:val="bottom"/>
            <w:shd w:val="clear" w:color="auto" w:fill="CCEEFF"/>
          </w:tcPr>
          <w:p>
            <w:pPr>
              <w:jc w:val="center"/>
              <w:ind w:right="70"/>
              <w:spacing w:after="0" w:line="141" w:lineRule="exact"/>
              <w:rPr>
                <w:sz w:val="20"/>
                <w:szCs w:val="20"/>
                <w:color w:val="auto"/>
              </w:rPr>
            </w:pPr>
            <w:r>
              <w:rPr>
                <w:rFonts w:ascii="Times New Roman" w:cs="Times New Roman" w:eastAsia="Times New Roman" w:hAnsi="Times New Roman"/>
                <w:sz w:val="14"/>
                <w:szCs w:val="14"/>
                <w:color w:val="auto"/>
              </w:rPr>
              <w:t>Systems</w:t>
            </w:r>
          </w:p>
        </w:tc>
        <w:tc>
          <w:tcPr>
            <w:tcW w:w="1100" w:type="dxa"/>
            <w:vAlign w:val="bottom"/>
            <w:shd w:val="clear" w:color="auto" w:fill="CCEEFF"/>
          </w:tcPr>
          <w:p>
            <w:pPr>
              <w:jc w:val="right"/>
              <w:ind w:right="131"/>
              <w:spacing w:after="0" w:line="141" w:lineRule="exact"/>
              <w:rPr>
                <w:sz w:val="20"/>
                <w:szCs w:val="20"/>
                <w:color w:val="auto"/>
              </w:rPr>
            </w:pPr>
            <w:r>
              <w:rPr>
                <w:rFonts w:ascii="Times New Roman" w:cs="Times New Roman" w:eastAsia="Times New Roman" w:hAnsi="Times New Roman"/>
                <w:sz w:val="14"/>
                <w:szCs w:val="14"/>
                <w:color w:val="auto"/>
              </w:rPr>
              <w:t>18,786</w:t>
            </w:r>
          </w:p>
        </w:tc>
        <w:tc>
          <w:tcPr>
            <w:tcW w:w="94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91"/>
        </w:trPr>
        <w:tc>
          <w:tcPr>
            <w:tcW w:w="2600" w:type="dxa"/>
            <w:vAlign w:val="bottom"/>
            <w:shd w:val="clear" w:color="auto" w:fill="CCEEFF"/>
          </w:tcPr>
          <w:p>
            <w:pPr>
              <w:spacing w:after="0"/>
              <w:rPr>
                <w:sz w:val="16"/>
                <w:szCs w:val="16"/>
                <w:color w:val="auto"/>
              </w:rPr>
            </w:pPr>
          </w:p>
        </w:tc>
        <w:tc>
          <w:tcPr>
            <w:tcW w:w="5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development</w:t>
            </w:r>
          </w:p>
        </w:tc>
        <w:tc>
          <w:tcPr>
            <w:tcW w:w="1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Shanghai, China</w:t>
            </w:r>
            <w:r>
              <w:rPr>
                <w:rFonts w:ascii="Times New Roman" w:cs="Times New Roman" w:eastAsia="Times New Roman" w:hAnsi="Times New Roman"/>
                <w:sz w:val="18"/>
                <w:szCs w:val="18"/>
                <w:color w:val="auto"/>
                <w:vertAlign w:val="superscript"/>
              </w:rPr>
              <w:t>(1)</w:t>
            </w:r>
          </w:p>
        </w:tc>
        <w:tc>
          <w:tcPr>
            <w:tcW w:w="5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Sales and service</w:t>
            </w: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rPr>
              <w:t>All</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3,348</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Dresden, Germany</w:t>
            </w:r>
          </w:p>
        </w:tc>
        <w:tc>
          <w:tcPr>
            <w:tcW w:w="5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Sales and service</w:t>
            </w:r>
          </w:p>
        </w:tc>
        <w:tc>
          <w:tcPr>
            <w:tcW w:w="11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4"/>
                <w:szCs w:val="14"/>
                <w:color w:val="auto"/>
              </w:rPr>
              <w:t>All</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2,960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84"/>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Hiroshima, Japan</w:t>
            </w:r>
          </w:p>
        </w:tc>
        <w:tc>
          <w:tcPr>
            <w:tcW w:w="5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Repair center</w:t>
            </w: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rPr>
              <w:t>Probe Cards</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1,007</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140" w:hanging="135"/>
        <w:spacing w:after="0" w:line="218" w:lineRule="auto"/>
        <w:tabs>
          <w:tab w:leader="none" w:pos="146"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February 7, 2024, the Company signed an agreement with Grand Junction Semiconductor Pte. Ltd. to divest its China operations. These leased locations are to be included as part of the divestiture. See Note 19 of the Notes to Consolidated Financial Statements included in Part II, Item 8 of this Annual Report on Form 10-K for further details.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4" w:name="page25"/>
    <w:bookmarkEnd w:id="24"/>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i w:val="1"/>
          <w:iCs w:val="1"/>
          <w:color w:val="auto"/>
        </w:rPr>
        <w:t>Legal Proceedings</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 xml:space="preserve">Information with respect to this item may be found under the caption “Legal Matters” in Note 12,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to our consolidated financial statements included herein, which information is incorporated into this Item 3 by reference.</w:t>
      </w:r>
    </w:p>
    <w:p>
      <w:pPr>
        <w:spacing w:after="0" w:line="1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i w:val="1"/>
          <w:iCs w:val="1"/>
          <w:color w:val="auto"/>
        </w:rPr>
        <w:t>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i w:val="1"/>
          <w:iCs w:val="1"/>
          <w:color w:val="auto"/>
        </w:rPr>
        <w:t>Market for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Information</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Our common stock is listed on The Nasdaq Global Market under the symbol “FORM.” As of February 16, 2024, there were 115 registered holders of record of our common stock, which does not include beneficial owners of stock held in street name (i.e., through a brokerage firm, bank, broker-dealer, trust or other similar organization).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cash dividends have been declared on shares of our common stock, and the Company currently does not intend to pay dividends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Repurchases of Common Stock</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October 2023, our Board of Directors authorized a program to repurchase up to $75.0 million of outstanding common stock to offset potential dilution from issuances of our common stock under our employee stock purchase plan and equity incentive plan. This authorization was in addition to the program authorized in May 2022 to repurchase up to $75.0 million of outstanding common stock that was fully utilized as of December 30, 2023. Under the current stock repurchase program, we may repurchase shares from time to time on the open market. The pace of repurchase activity will depend on levels of cash generation, the Company's current stock price, and other factors. The program may be modified or discontinued at any time. The current share repurchase program will expire October 2025.</w:t>
      </w:r>
    </w:p>
    <w:p>
      <w:pPr>
        <w:spacing w:after="0" w:line="16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following table provides information as of December 30, 2023 with respect to the shares of common stock repurchased during the fourth quarter of fiscal 2023 pursuant to the foregoing Board authorization.</w:t>
      </w:r>
    </w:p>
    <w:tbl>
      <w:tblPr>
        <w:tblLayout w:type="fixed"/>
        <w:tblInd w:w="0" w:type="dxa"/>
        <w:tblCellMar>
          <w:top w:w="0" w:type="dxa"/>
          <w:left w:w="0" w:type="dxa"/>
          <w:bottom w:w="0" w:type="dxa"/>
          <w:right w:w="0" w:type="dxa"/>
        </w:tblCellMar>
      </w:tblPr>
      <w:tr>
        <w:trPr>
          <w:trHeight w:val="117"/>
        </w:trPr>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Total Number of Shares</w:t>
            </w:r>
          </w:p>
        </w:tc>
        <w:tc>
          <w:tcPr>
            <w:tcW w:w="100" w:type="dxa"/>
            <w:vAlign w:val="bottom"/>
          </w:tcPr>
          <w:p>
            <w:pPr>
              <w:spacing w:after="0"/>
              <w:rPr>
                <w:sz w:val="10"/>
                <w:szCs w:val="10"/>
                <w:color w:val="auto"/>
              </w:rPr>
            </w:pPr>
          </w:p>
        </w:tc>
        <w:tc>
          <w:tcPr>
            <w:tcW w:w="15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Maximum Amount that May</w:t>
            </w:r>
          </w:p>
        </w:tc>
        <w:tc>
          <w:tcPr>
            <w:tcW w:w="0" w:type="dxa"/>
            <w:vAlign w:val="bottom"/>
          </w:tcPr>
          <w:p>
            <w:pPr>
              <w:spacing w:after="0"/>
              <w:rPr>
                <w:sz w:val="1"/>
                <w:szCs w:val="1"/>
                <w:color w:val="auto"/>
              </w:rPr>
            </w:pPr>
          </w:p>
        </w:tc>
      </w:tr>
      <w:tr>
        <w:trPr>
          <w:trHeight w:val="115"/>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 (fiscal months)</w:t>
            </w:r>
          </w:p>
        </w:tc>
        <w:tc>
          <w:tcPr>
            <w:tcW w:w="1620" w:type="dxa"/>
            <w:vAlign w:val="bottom"/>
            <w:gridSpan w:val="2"/>
            <w:vMerge w:val="continue"/>
          </w:tcPr>
          <w:p>
            <w:pPr>
              <w:spacing w:after="0"/>
              <w:rPr>
                <w:sz w:val="9"/>
                <w:szCs w:val="9"/>
                <w:color w:val="auto"/>
              </w:rPr>
            </w:pPr>
          </w:p>
        </w:tc>
        <w:tc>
          <w:tcPr>
            <w:tcW w:w="1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Average Price Paid per Share</w:t>
            </w:r>
          </w:p>
        </w:tc>
        <w:tc>
          <w:tcPr>
            <w:tcW w:w="15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Purchased as Part of Publicly</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jc w:val="center"/>
              <w:ind w:right="15"/>
              <w:spacing w:after="0" w:line="115" w:lineRule="exact"/>
              <w:rPr>
                <w:sz w:val="20"/>
                <w:szCs w:val="20"/>
                <w:color w:val="auto"/>
              </w:rPr>
            </w:pPr>
            <w:r>
              <w:rPr>
                <w:rFonts w:ascii="Times New Roman" w:cs="Times New Roman" w:eastAsia="Times New Roman" w:hAnsi="Times New Roman"/>
                <w:sz w:val="11"/>
                <w:szCs w:val="11"/>
                <w:b w:val="1"/>
                <w:bCs w:val="1"/>
                <w:color w:val="auto"/>
              </w:rPr>
              <w:t>Yet Be Purchased Under the</w:t>
            </w:r>
          </w:p>
        </w:tc>
        <w:tc>
          <w:tcPr>
            <w:tcW w:w="0" w:type="dxa"/>
            <w:vAlign w:val="bottom"/>
          </w:tcPr>
          <w:p>
            <w:pPr>
              <w:spacing w:after="0"/>
              <w:rPr>
                <w:sz w:val="1"/>
                <w:szCs w:val="1"/>
                <w:color w:val="auto"/>
              </w:rPr>
            </w:pPr>
          </w:p>
        </w:tc>
      </w:tr>
      <w:tr>
        <w:trPr>
          <w:trHeight w:val="159"/>
        </w:trPr>
        <w:tc>
          <w:tcPr>
            <w:tcW w:w="4880" w:type="dxa"/>
            <w:vAlign w:val="bottom"/>
            <w:gridSpan w:val="2"/>
            <w:vMerge w:val="continue"/>
          </w:tcPr>
          <w:p>
            <w:pPr>
              <w:spacing w:after="0"/>
              <w:rPr>
                <w:sz w:val="13"/>
                <w:szCs w:val="13"/>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Purchased</w:t>
            </w:r>
          </w:p>
        </w:tc>
        <w:tc>
          <w:tcPr>
            <w:tcW w:w="1640" w:type="dxa"/>
            <w:vAlign w:val="bottom"/>
            <w:gridSpan w:val="3"/>
            <w:vMerge w:val="continue"/>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Announced Plans or Programs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rPr>
              <w:t>Plans or Programs</w:t>
            </w:r>
          </w:p>
        </w:tc>
        <w:tc>
          <w:tcPr>
            <w:tcW w:w="0" w:type="dxa"/>
            <w:vAlign w:val="bottom"/>
          </w:tcPr>
          <w:p>
            <w:pPr>
              <w:spacing w:after="0"/>
              <w:rPr>
                <w:sz w:val="1"/>
                <w:szCs w:val="1"/>
                <w:color w:val="auto"/>
              </w:rPr>
            </w:pPr>
          </w:p>
        </w:tc>
      </w:tr>
      <w:tr>
        <w:trPr>
          <w:trHeight w:val="171"/>
        </w:trPr>
        <w:tc>
          <w:tcPr>
            <w:tcW w:w="47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October 1, 2023 - October 28, 2023</w:t>
            </w: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93,634,446</w:t>
            </w:r>
          </w:p>
        </w:tc>
        <w:tc>
          <w:tcPr>
            <w:tcW w:w="0" w:type="dxa"/>
            <w:vAlign w:val="bottom"/>
          </w:tcPr>
          <w:p>
            <w:pPr>
              <w:spacing w:after="0"/>
              <w:rPr>
                <w:sz w:val="1"/>
                <w:szCs w:val="1"/>
                <w:color w:val="auto"/>
              </w:rPr>
            </w:pPr>
          </w:p>
        </w:tc>
      </w:tr>
      <w:tr>
        <w:trPr>
          <w:trHeight w:val="180"/>
        </w:trPr>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October 29, 2023 - November 25, 2023</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184,464</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36.77</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184,464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86,851,705</w:t>
            </w:r>
          </w:p>
        </w:tc>
        <w:tc>
          <w:tcPr>
            <w:tcW w:w="0" w:type="dxa"/>
            <w:vAlign w:val="bottom"/>
          </w:tcPr>
          <w:p>
            <w:pPr>
              <w:spacing w:after="0"/>
              <w:rPr>
                <w:sz w:val="1"/>
                <w:szCs w:val="1"/>
                <w:color w:val="auto"/>
              </w:rPr>
            </w:pPr>
          </w:p>
        </w:tc>
      </w:tr>
      <w:tr>
        <w:trPr>
          <w:trHeight w:val="180"/>
        </w:trPr>
        <w:tc>
          <w:tcPr>
            <w:tcW w:w="4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November 26, 2023 - December 30, 2023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351,908</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36.99</w:t>
            </w:r>
          </w:p>
        </w:tc>
        <w:tc>
          <w:tcPr>
            <w:tcW w:w="10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351,908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73,834,628</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536,372</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36.92</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536,372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Stock Price Performance Graph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graph shows the total stockholder return of an investment of $100 in cash on December 29, 2018 through December 30, 2023 for (1) our common stock, (2) the S&amp;P 500 Index, and</w:t>
      </w:r>
    </w:p>
    <w:p>
      <w:pPr>
        <w:spacing w:after="0" w:line="9" w:lineRule="exact"/>
        <w:rPr>
          <w:sz w:val="20"/>
          <w:szCs w:val="20"/>
          <w:color w:val="auto"/>
        </w:rPr>
      </w:pPr>
    </w:p>
    <w:p>
      <w:pPr>
        <w:ind w:firstLine="5"/>
        <w:spacing w:after="0" w:line="266" w:lineRule="auto"/>
        <w:tabs>
          <w:tab w:leader="none" w:pos="20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S&amp;P Semiconductors Select Industry Index. All values assume reinvestment of the full amount of all dividends. Stockholder returns over the indicated period are based on historical data and are not necessarily indicative of future stockholder returns.</w:t>
      </w:r>
    </w:p>
    <w:p>
      <w:pPr>
        <w:spacing w:after="0" w:line="89"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COMPARISON OF 5 YEAR CUMULATIVE TOTAL RETURN*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3"/>
          <w:szCs w:val="13"/>
          <w:color w:val="auto"/>
        </w:rPr>
        <w:t xml:space="preserve">Among FormFactor, Inc., the S&amp;P 500 Index, and the </w:t>
      </w:r>
      <w:r>
        <w:rPr>
          <w:rFonts w:ascii="Times New Roman" w:cs="Times New Roman" w:eastAsia="Times New Roman" w:hAnsi="Times New Roman"/>
          <w:sz w:val="14"/>
          <w:szCs w:val="14"/>
          <w:color w:val="auto"/>
        </w:rPr>
        <w:t>S&amp;P Semiconductors Select Industry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4445</wp:posOffset>
            </wp:positionV>
            <wp:extent cx="4581525" cy="32340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81525" cy="323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3"/>
          <w:szCs w:val="13"/>
          <w:color w:val="auto"/>
        </w:rPr>
        <w:t>*$100 invested on December 29, 2018 in stock or index, including</w:t>
      </w:r>
    </w:p>
    <w:p>
      <w:pPr>
        <w:spacing w:after="0" w:line="13" w:lineRule="exact"/>
        <w:rPr>
          <w:sz w:val="20"/>
          <w:szCs w:val="20"/>
          <w:color w:val="auto"/>
        </w:rPr>
      </w:pPr>
    </w:p>
    <w:tbl>
      <w:tblPr>
        <w:tblLayout w:type="fixed"/>
        <w:tblInd w:w="280" w:type="dxa"/>
        <w:tblCellMar>
          <w:top w:w="0" w:type="dxa"/>
          <w:left w:w="0" w:type="dxa"/>
          <w:bottom w:w="0" w:type="dxa"/>
          <w:right w:w="0" w:type="dxa"/>
        </w:tblCellMar>
      </w:tblPr>
      <w:tr>
        <w:trPr>
          <w:trHeight w:val="165"/>
        </w:trPr>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ind w:left="280"/>
              <w:spacing w:after="0"/>
              <w:rPr>
                <w:sz w:val="20"/>
                <w:szCs w:val="20"/>
                <w:color w:val="auto"/>
              </w:rPr>
            </w:pPr>
            <w:r>
              <w:rPr>
                <w:rFonts w:ascii="Times New Roman" w:cs="Times New Roman" w:eastAsia="Times New Roman" w:hAnsi="Times New Roman"/>
                <w:sz w:val="13"/>
                <w:szCs w:val="13"/>
                <w:color w:val="auto"/>
              </w:rPr>
              <w:t>reinvestment of dividends.</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85"/>
        </w:trPr>
        <w:tc>
          <w:tcPr>
            <w:tcW w:w="30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Cumulative Total Return</w:t>
            </w: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61"/>
        </w:trPr>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29, 2018</w:t>
            </w:r>
          </w:p>
        </w:tc>
        <w:tc>
          <w:tcPr>
            <w:tcW w:w="10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28, 2019</w:t>
            </w:r>
          </w:p>
        </w:tc>
        <w:tc>
          <w:tcPr>
            <w:tcW w:w="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26, 2020</w:t>
            </w:r>
          </w:p>
        </w:tc>
        <w:tc>
          <w:tcPr>
            <w:tcW w:w="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25, 2021</w:t>
            </w:r>
          </w:p>
        </w:tc>
        <w:tc>
          <w:tcPr>
            <w:tcW w:w="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0" w:type="dxa"/>
            <w:vAlign w:val="bottom"/>
          </w:tcPr>
          <w:p>
            <w:pPr>
              <w:spacing w:after="0"/>
              <w:rPr>
                <w:sz w:val="14"/>
                <w:szCs w:val="14"/>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w w:val="95"/>
              </w:rPr>
              <w:t>December 30, 2023</w:t>
            </w:r>
          </w:p>
        </w:tc>
      </w:tr>
      <w:tr>
        <w:trPr>
          <w:trHeight w:val="172"/>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FormFactor, Inc.</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303.93</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297.72</w:t>
            </w:r>
          </w:p>
        </w:tc>
      </w:tr>
      <w:tr>
        <w:trPr>
          <w:trHeight w:val="180"/>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S&amp;P 500 Index</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207.21</w:t>
            </w:r>
          </w:p>
        </w:tc>
      </w:tr>
      <w:tr>
        <w:trPr>
          <w:trHeight w:val="18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S&amp;P Semiconductors Select Industry Index</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359.96</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6: </w:t>
      </w:r>
      <w:r>
        <w:rPr>
          <w:rFonts w:ascii="Times New Roman" w:cs="Times New Roman" w:eastAsia="Times New Roman" w:hAnsi="Times New Roman"/>
          <w:sz w:val="14"/>
          <w:szCs w:val="14"/>
          <w:b w:val="1"/>
          <w:bCs w:val="1"/>
          <w:i w:val="1"/>
          <w:iCs w:val="1"/>
          <w:color w:val="auto"/>
        </w:rPr>
        <w:t>[Reserved]</w:t>
      </w:r>
    </w:p>
    <w:p>
      <w:pPr>
        <w:spacing w:after="0" w:line="20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7:</w:t>
      </w:r>
      <w:r>
        <w:rPr>
          <w:sz w:val="20"/>
          <w:szCs w:val="20"/>
          <w:color w:val="auto"/>
        </w:rPr>
        <w:tab/>
      </w:r>
      <w:r>
        <w:rPr>
          <w:rFonts w:ascii="Times New Roman" w:cs="Times New Roman" w:eastAsia="Times New Roman" w:hAnsi="Times New Roman"/>
          <w:sz w:val="14"/>
          <w:szCs w:val="14"/>
          <w:b w:val="1"/>
          <w:bCs w:val="1"/>
          <w:i w:val="1"/>
          <w:iCs w:val="1"/>
          <w:color w:val="auto"/>
        </w:rPr>
        <w:t>Management's Discussion and Analysis of Financial Condition and Results of Operations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consolidated financial statements and the related notes included elsewhere in this Annual Report on Form 10-K. In addition to historical consolidated financial information, the following discussion and analysis contains forward-looking statements that involve risks, uncertainties and assumptions as described under the “Note Regarding Forward-Looking Statements” that appears earlier in this Annual Report on Form 10-K. Our actual results could differ materially from those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color w:val="auto"/>
        </w:rPr>
        <w:t>anticipated by these forward-looking statements as a result of many factors, including those discussed under “Item 1A: Risk Factors” and elsewhere in this Annual Report on Form 10-K.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FormFactor, Inc., headquartered in Livermore, California, is a leading provider of essential test and measurement technologies along the full semiconductor product lifecycle - from characterization, modeling, reliability, and design de-bug, to qualification and production test. We provide a broad range of high-performance probe cards, analytical probes, probe stations, metrology systems, thermal systems, and cryogenic systems to both semiconductor companies and scientific institutions. Our products provide electrical information from a variety of semiconductor and electro-optical devices and integrated circuits from early research, through development, to high-volume production. Customers use our products and services to accelerate profitability by optimizing device performance, reducing scrap, and improving yields.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operate in two reportable segments consisting of the Probe Cards segment and the Systems segment. Sales of our probe cards and analytical probes are included in the Probe Cards segment, while sales of our probe stations, metrology systems, thermal systems and cryogenic systems are included in the Systems segment.</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generated net income of $82.4 million in fiscal 2023 compared to net income of $50.7 million in fiscal 2022 and net income of $83.9 million in fiscal 2021. On November 1, 2023, we completed the sale of our FRT Metrology (“FRT”) business. As a result of the transaction, we received aggregate net consideration of $99.8 million and the transaction resulted in a gain of $73.0 million.</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increase in net income in fiscal 2023 compared to fiscal 2022 was primarily due to the $73.0 million gain recognized from the sale of our FRT business. Apart from this gain, the semiconductor industry weakness that began in the third quarter of fiscal 2022 continued into fiscal 2023, impacting our Probe Cards segment with a $93.5 million reduction in revenue and the associated decline in gross margins as a result of the lower operating levels. Despite the overall semiconductor industry weakness that impacted the Probe Cards segment, the Systems segment continued to show strength with revenue increasing $8.7 million, or about 5.6% in fiscal 2022, since customer spending for products in this segment is driven by research and development of next-generation innovation.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decrease in net income in fiscal 2022 compared to fiscal 2021 was primarily due to decreased revenues, lower margins driven primarily by a less favorable product mix and lower factory utilization, and increased restructuring charges. This was partially offset by a reduction in the amortization of intangibles and in the annual effective tax rate. The first half of fiscal 2022 was strong, producing net income of $60.1 million with $401.1 million in revenue at 47.0% gross margins. In the second half of fiscal 2022, revenues declined, mainly within the Probe Cards segment, and mix became less favorable, resulting in a net loss of $9.4 million with $346.9 million in revenue at 31.0% gross margins. Despite the decline in total revenues in the second half of fiscal 2022, the Systems segment recognized record revenue levels in the third and fourth quarters of fiscal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February 7, 2024, we signed an agreement with Grand Junction Semiconductor Pte. Ltd. to divest our China operations and establish an exclusive distribution and partnership agreement to continue sales and support of our products in the region (the “China Transaction”). The China Transaction is expected to close in the first half of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operate on a 52/53 week fiscal year, whereby the fiscal year ends on the last Saturday of December. The fiscal years ended December 30, 2023, December 31, 2022 and December 25, 2021 included 52 weeks, 53 weeks (with 14 weeks in the fourth quarter) and 52 weeks,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Preparation of our financial statements requires management to make estimates and assumptions that affect the reported amounts of assets, liabilities, revenues and expenses. Management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discussion and analysis of our financial condition and results of operations are based upon our consolidated financial statements, which have been prepared in accordance with generally accepted accounting principles (“GAAP”). The preparation of these financial statements requires us to make estimates and assumptions that affect the reported amounts of assets and liabilities at the date of the financial statements and the reported amounts of net revenue and expenses in the reporting period. Our accounting policies are fundamental to understanding our financial condition and results of operations reported in our financial statements and related disclosures. We have identified the following accounting policies as being critical because they require our management to make particularly difficult, subjective and/or complex judgments about the effect of matters that are inherently uncertain. Our management has discussed the development, selection, application and disclosure of these critical accounting policies with the Audit Committee of our Board of Directors.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 Valuation</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state our inventories at the lower of cost (principally standard cost which approximates actual cost on a first in, first out basis) or net realizable value. We regularly assess the value of our inventory and will periodically write down its value for estimated excess inventory and product obsolescence based upon an analysis of existing inventory quantities compared to estimated future consumption. Future consumption is estimated based upon assumptions about how past consumption, recent purchases, backlog and other factors may indicate future consumption. On a quarterly basis, we review existing inventory quantities in comparison to our past consumption, recent purchases, backlog and other factors to determine what inventory quantities, if any, may not be sellable. Based on this analysis, we record an adjustment to the cost basis of inventory when evidence exists that the net realizable value of inventory is lower than its cost, which occurs when we have excess and/or obsolete inventory.</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the point of loss recognition, a new, lower cost basis for that inventory is established, and subsequent changes in facts and circumstances do not result in the restoration or increase in that newly established cost basis. Market conditions are subject to change, and demand for our products can fluctuate significantly. Actual consumption of inventories could differ from forecasted demand, and this difference could have a material impact on our gross profit and inventory balances based on additional provisions for excess or obsolete inventories, or a benefit from the sale of inventories previously written down.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Revenue is recognized upon transferring control of products and services, and the amounts recognized reflect the consideration we expect to be entitled to receive in exchange for these products and services. An arrangement may include some or all of the following products and services: probe cards, systems, accessories, engineering services, installation services, service contracts and extended warranty contracts.</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performance obligation is a promise in a contract to transfer a distinct good or service to the customer. In contracts with multiple performance obligations, we identify each performance obligation and evaluate whether the performance obligation is distinct within the context of the contract at contract inception. Performance obligations that are not distinct at contract inception are combined and accounted for as one unit of account. Generally, the performance obligations in a contract are considered distinct within the context of the contract and are accounted for as separate units of account.</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products may be customized to our customers’ specifications; however, control of our product is typically transferred to the customer at the point in time the product is either shipped or delivered, depending on the terms of the arrangement, as the criteria for over time recognition is not met. In limited circumstances, substantive acceptance by the customer exists which results in the deferral of revenue until acceptance is formally received from the customer. Judgment may be required in determining if the acceptance clause is substantive. In certain instances control of products is transferred to the customer over time based on performance and in those instances we utilize an appropriate input or output measure to determine to what extent control has transferred to the customer. Judgment may be required in determining an appropriate measure of performance.</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Installation services are routinely provided to customers purchasing our systems. Installation services are a distinct performance obligation apart from the systems and are recognized in the period they are performed. Service contracts, which include repair and maintenance service contracts, and extended warranty contracts are also distinct performance obligations and are recognized over the contractual service period, which ranges from one to three years. For these service contracts recognized over time, we use the input measure of days elapsed to measure progress.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contract’s transaction price is allocated to each distinct performance obligation and recognized as revenue when, or as, the performance obligation is satisfied. In determining the transaction price, we evaluate whether the price is subject to refund or adjustment to determine the net consideration to which we expect to be entitled. We generally do not grant return privileges, except for defective products during the warranty period. Sales incentives and other programs that we may make available 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color w:val="auto"/>
        </w:rPr>
        <w:t>our customers are considered to be a form of variable consideration, which is estimated in determining the contract’s transaction price to be allocated to the performance obligations.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contracts with multiple performance obligations, we allocate the contract’s transaction price to each performance obligation based on its relative stand-alone selling price. The stand-alone selling prices are determined based on observable prices, which are the prices at which we separately sell these products. For items which do not have observable prices, we use our best estimate of the stand-alone selling prices.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account for tax assessed by a governmental authority that is directly imposed on a revenue-producing transaction (i.e., sales, use, value added) on a net (excluded from revenue) basis.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this section, we discuss the results of our operations for the year ended December 30, 2023 compared to the year ended December 31, 2022. For a discussion of the year ended December 31, 2022 compared to the year ended December 25, 2021, please refer to Part II, Item 7, “Management's Discussion and Analysis of Financial Condition and Results of Operations” in our Annual Report on Form 10-K for the year ended December 31, 2022.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operating results as a percentage of revenues: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20" w:type="dxa"/>
            <w:vAlign w:val="bottom"/>
          </w:tcPr>
          <w:p>
            <w:pPr>
              <w:spacing w:after="0"/>
              <w:rPr>
                <w:sz w:val="14"/>
                <w:szCs w:val="14"/>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Fiscal 2023</w:t>
            </w: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Fiscal 2022</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Fiscal 2021</w:t>
            </w:r>
          </w:p>
        </w:tc>
      </w:tr>
      <w:tr>
        <w:trPr>
          <w:trHeight w:val="17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60.4</w:t>
            </w: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58.1</w:t>
            </w:r>
          </w:p>
        </w:tc>
      </w:tr>
      <w:tr>
        <w:trPr>
          <w:trHeight w:val="171"/>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41.9</w:t>
            </w:r>
          </w:p>
        </w:tc>
      </w:tr>
      <w:tr>
        <w:trPr>
          <w:trHeight w:val="180"/>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13.1</w:t>
            </w:r>
          </w:p>
        </w:tc>
      </w:tr>
      <w:tr>
        <w:trPr>
          <w:trHeight w:val="180"/>
        </w:trPr>
        <w:tc>
          <w:tcPr>
            <w:tcW w:w="7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16.1</w:t>
            </w:r>
          </w:p>
        </w:tc>
      </w:tr>
      <w:tr>
        <w:trPr>
          <w:trHeight w:val="171"/>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29.2</w:t>
            </w:r>
          </w:p>
        </w:tc>
      </w:tr>
      <w:tr>
        <w:trPr>
          <w:trHeight w:val="180"/>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sale of business</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12.7</w:t>
            </w:r>
          </w:p>
        </w:tc>
      </w:tr>
      <w:tr>
        <w:trPr>
          <w:trHeight w:val="180"/>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5"/>
                <w:szCs w:val="15"/>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5"/>
                <w:szCs w:val="15"/>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0.1</w:t>
            </w:r>
          </w:p>
        </w:tc>
      </w:tr>
      <w:tr>
        <w:trPr>
          <w:trHeight w:val="171"/>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12.8</w:t>
            </w:r>
          </w:p>
        </w:tc>
      </w:tr>
      <w:tr>
        <w:trPr>
          <w:trHeight w:val="18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1.9</w:t>
            </w:r>
          </w:p>
        </w:tc>
      </w:tr>
      <w:tr>
        <w:trPr>
          <w:trHeight w:val="196"/>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12.4 %</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10.9 %</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 by Segment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Fiscal 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w w:val="97"/>
              </w:rPr>
              <w:t>Fiscal 2022</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Fiscal 2021</w:t>
            </w:r>
          </w:p>
        </w:tc>
      </w:tr>
      <w:tr>
        <w:trPr>
          <w:trHeight w:val="174"/>
        </w:trPr>
        <w:tc>
          <w:tcPr>
            <w:tcW w:w="6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Probe Cards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497,903</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591,422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633,281</w:t>
            </w:r>
          </w:p>
        </w:tc>
      </w:tr>
      <w:tr>
        <w:trPr>
          <w:trHeight w:val="180"/>
        </w:trPr>
        <w:tc>
          <w:tcPr>
            <w:tcW w:w="648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Systems</w:t>
            </w:r>
            <w:r>
              <w:rPr>
                <w:rFonts w:ascii="Times New Roman" w:cs="Times New Roman" w:eastAsia="Times New Roman" w:hAnsi="Times New Roman"/>
                <w:sz w:val="18"/>
                <w:szCs w:val="18"/>
                <w:color w:val="auto"/>
                <w:vertAlign w:val="superscript"/>
              </w:rPr>
              <w:t>(1)</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165,199</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156,515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136,393</w:t>
            </w:r>
          </w:p>
        </w:tc>
      </w:tr>
      <w:tr>
        <w:trPr>
          <w:trHeight w:val="196"/>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663,102</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747,937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769,674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140" w:hanging="135"/>
        <w:spacing w:after="0" w:line="225" w:lineRule="auto"/>
        <w:tabs>
          <w:tab w:leader="none" w:pos="149"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During the fourth quarter of fiscal 2023, we completed the sale of our FRT business. As a result, Metrology Systems revenue will not recur in future periods. The year ended December 30, 2023 includes Metrology Systems revenue of $21.2 million. The years ended December 31, 2022 and December 25, 2021 include Metrology Systems revenue of $29.0 million and $23.7 million, respectively.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 by Market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Fiscal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2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Fiscal</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780" w:type="dxa"/>
            <w:vAlign w:val="bottom"/>
            <w:tcBorders>
              <w:bottom w:val="single" w:sz="8" w:color="auto"/>
            </w:tcBorders>
          </w:tcPr>
          <w:p>
            <w:pPr>
              <w:spacing w:after="0"/>
              <w:rPr>
                <w:sz w:val="14"/>
                <w:szCs w:val="14"/>
                <w:color w:val="auto"/>
              </w:rPr>
            </w:pPr>
          </w:p>
        </w:tc>
      </w:tr>
      <w:tr>
        <w:trPr>
          <w:trHeight w:val="164"/>
        </w:trPr>
        <w:tc>
          <w:tcPr>
            <w:tcW w:w="4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3"/>
        </w:trPr>
        <w:tc>
          <w:tcPr>
            <w:tcW w:w="4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Probe Cards Markets: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80"/>
        </w:trPr>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Foundry &amp; Logic</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363,539</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54.8 %</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409,196</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54.7 %</w:t>
            </w:r>
          </w:p>
        </w:tc>
        <w:tc>
          <w:tcPr>
            <w:tcW w:w="14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(45,657)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80"/>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DRAM</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113,779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133,446</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(14.7)</w:t>
            </w:r>
          </w:p>
        </w:tc>
      </w:tr>
      <w:tr>
        <w:trPr>
          <w:trHeight w:val="180"/>
        </w:trPr>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Flash</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20,585</w:t>
            </w:r>
          </w:p>
        </w:tc>
        <w:tc>
          <w:tcPr>
            <w:tcW w:w="100" w:type="dxa"/>
            <w:vAlign w:val="bottom"/>
          </w:tcPr>
          <w:p>
            <w:pPr>
              <w:spacing w:after="0"/>
              <w:rPr>
                <w:sz w:val="15"/>
                <w:szCs w:val="15"/>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48,780</w:t>
            </w:r>
          </w:p>
        </w:tc>
        <w:tc>
          <w:tcPr>
            <w:tcW w:w="80" w:type="dxa"/>
            <w:vAlign w:val="bottom"/>
          </w:tcPr>
          <w:p>
            <w:pPr>
              <w:spacing w:after="0"/>
              <w:rPr>
                <w:sz w:val="15"/>
                <w:szCs w:val="15"/>
                <w:color w:val="auto"/>
              </w:rPr>
            </w:pP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(57.8)</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Systems Market: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4240" w:type="dxa"/>
            <w:vAlign w:val="bottom"/>
            <w:tcBorders>
              <w:bottom w:val="single" w:sz="8" w:color="CCEEFF"/>
            </w:tcBorders>
          </w:tcPr>
          <w:p>
            <w:pPr>
              <w:ind w:left="120"/>
              <w:spacing w:after="0" w:line="181" w:lineRule="exact"/>
              <w:rPr>
                <w:sz w:val="20"/>
                <w:szCs w:val="20"/>
                <w:color w:val="auto"/>
              </w:rPr>
            </w:pPr>
            <w:r>
              <w:rPr>
                <w:rFonts w:ascii="Times New Roman" w:cs="Times New Roman" w:eastAsia="Times New Roman" w:hAnsi="Times New Roman"/>
                <w:sz w:val="14"/>
                <w:szCs w:val="14"/>
                <w:color w:val="auto"/>
              </w:rPr>
              <w:t>Systems</w:t>
            </w:r>
            <w:r>
              <w:rPr>
                <w:rFonts w:ascii="Times New Roman" w:cs="Times New Roman" w:eastAsia="Times New Roman" w:hAnsi="Times New Roman"/>
                <w:sz w:val="18"/>
                <w:szCs w:val="18"/>
                <w:color w:val="auto"/>
                <w:vertAlign w:val="superscript"/>
              </w:rPr>
              <w:t>(1)</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165,199</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156,515</w:t>
            </w: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21.0</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5.5</w:t>
            </w:r>
          </w:p>
        </w:tc>
      </w:tr>
      <w:tr>
        <w:trPr>
          <w:trHeight w:val="196"/>
        </w:trPr>
        <w:tc>
          <w:tcPr>
            <w:tcW w:w="4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663,102</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747,937</w:t>
            </w: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(84,835)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414"/>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Fiscal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20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Fiscal</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780" w:type="dxa"/>
            <w:vAlign w:val="bottom"/>
            <w:tcBorders>
              <w:bottom w:val="single" w:sz="8" w:color="auto"/>
            </w:tcBorders>
          </w:tcPr>
          <w:p>
            <w:pPr>
              <w:spacing w:after="0"/>
              <w:rPr>
                <w:sz w:val="24"/>
                <w:szCs w:val="24"/>
                <w:color w:val="auto"/>
              </w:rPr>
            </w:pPr>
          </w:p>
        </w:tc>
      </w:tr>
      <w:tr>
        <w:trPr>
          <w:trHeight w:val="164"/>
        </w:trPr>
        <w:tc>
          <w:tcPr>
            <w:tcW w:w="4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3"/>
        </w:trPr>
        <w:tc>
          <w:tcPr>
            <w:tcW w:w="4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Probe Cards Markets: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80"/>
        </w:trPr>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Foundry &amp; Logic</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409,196</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54.7 %</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435,812</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56.6 %</w:t>
            </w:r>
          </w:p>
        </w:tc>
        <w:tc>
          <w:tcPr>
            <w:tcW w:w="14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(26,616)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0"/>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DRAM</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133,446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156,049</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20.3</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(14.5)</w:t>
            </w:r>
          </w:p>
        </w:tc>
      </w:tr>
      <w:tr>
        <w:trPr>
          <w:trHeight w:val="180"/>
        </w:trPr>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Flash</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48,780</w:t>
            </w:r>
          </w:p>
        </w:tc>
        <w:tc>
          <w:tcPr>
            <w:tcW w:w="100" w:type="dxa"/>
            <w:vAlign w:val="bottom"/>
          </w:tcPr>
          <w:p>
            <w:pPr>
              <w:spacing w:after="0"/>
              <w:rPr>
                <w:sz w:val="15"/>
                <w:szCs w:val="15"/>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41,420</w:t>
            </w:r>
          </w:p>
        </w:tc>
        <w:tc>
          <w:tcPr>
            <w:tcW w:w="80" w:type="dxa"/>
            <w:vAlign w:val="bottom"/>
          </w:tcPr>
          <w:p>
            <w:pPr>
              <w:spacing w:after="0"/>
              <w:rPr>
                <w:sz w:val="15"/>
                <w:szCs w:val="15"/>
                <w:color w:val="auto"/>
              </w:rPr>
            </w:pP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17.8</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Systems Market: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4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Systems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156,515</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136,393</w:t>
            </w: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17.7</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20,122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14.8</w:t>
            </w:r>
          </w:p>
        </w:tc>
      </w:tr>
      <w:tr>
        <w:trPr>
          <w:trHeight w:val="196"/>
        </w:trPr>
        <w:tc>
          <w:tcPr>
            <w:tcW w:w="4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747,937</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769,674</w:t>
            </w: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140" w:hanging="135"/>
        <w:spacing w:after="0" w:line="225" w:lineRule="auto"/>
        <w:tabs>
          <w:tab w:leader="none" w:pos="149"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During the fourth quarter of fiscal 2023, we completed the sale of our FRT business. As a result, Metrology Systems revenue will not recur in future periods. The year ended December 30, 2023 includes Metrology Systems revenue of $21.2 million. The years ended December 31, 2022 and December 25, 2021 include Metrology Systems revenue of $29.0 million million and $23.7 million, respectively.</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Foundry &amp; Logic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decrease in Foundry &amp; Logic product revenue in fiscal 2023 compared to fiscal 2022 was driven by the weakening demand in the semiconductor industry, especially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personal computer and mobile sectors, that began in the third quarter of fiscal 2022 and continued into fiscal 2023, resulting in decreased unit sales across several of our major customers for both us and our competitors.</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DRAM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decrease in DRAM product revenues in fiscal 2023 compared to fiscal 2022 was driven by lower customer production activity and demand for our products in light of worldwide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excess supply of DRAM chips, along with weaker demand in the overall semiconductor industry, as discussed above. These declines were partially offset due to increased demand for HBM chips utilized in generative artificial intelligence applications.</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Flash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decrease in Flash product revenue in fiscal 2023 compared to fiscal 2022 was driven by lower customer production activity and demand for our products in light of worldwide excess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supply, a result of weaker demand in the overall semiconductor industry, as discussed above, and Flash market weakness.</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Systems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increase in Systems product revenue in fiscal 2023 compared to fiscal 2022 was driven by increased sales of probe stations and thermal systems, partially offset by decreased sales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metrology systems.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 by Geographic Region</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Fiscal 2023</w:t>
            </w:r>
          </w:p>
        </w:tc>
        <w:tc>
          <w:tcPr>
            <w:tcW w:w="100" w:type="dxa"/>
            <w:vAlign w:val="bottom"/>
            <w:vMerge w:val="restart"/>
          </w:tcPr>
          <w:p>
            <w:pPr>
              <w:spacing w:after="0"/>
              <w:rPr>
                <w:sz w:val="12"/>
                <w:szCs w:val="12"/>
                <w:color w:val="auto"/>
              </w:rPr>
            </w:pP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 of</w:t>
            </w:r>
          </w:p>
        </w:tc>
        <w:tc>
          <w:tcPr>
            <w:tcW w:w="140" w:type="dxa"/>
            <w:vAlign w:val="bottom"/>
          </w:tcPr>
          <w:p>
            <w:pPr>
              <w:spacing w:after="0"/>
              <w:rPr>
                <w:sz w:val="12"/>
                <w:szCs w:val="12"/>
                <w:color w:val="auto"/>
              </w:rPr>
            </w:pPr>
          </w:p>
        </w:tc>
        <w:tc>
          <w:tcPr>
            <w:tcW w:w="880" w:type="dxa"/>
            <w:vAlign w:val="bottom"/>
            <w:vMerge w:val="restart"/>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Fiscal 2022</w:t>
            </w:r>
          </w:p>
        </w:tc>
        <w:tc>
          <w:tcPr>
            <w:tcW w:w="100" w:type="dxa"/>
            <w:vAlign w:val="bottom"/>
            <w:vMerge w:val="restart"/>
          </w:tcPr>
          <w:p>
            <w:pPr>
              <w:spacing w:after="0"/>
              <w:rPr>
                <w:sz w:val="12"/>
                <w:szCs w:val="12"/>
                <w:color w:val="auto"/>
              </w:rPr>
            </w:pP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 of</w:t>
            </w:r>
          </w:p>
        </w:tc>
        <w:tc>
          <w:tcPr>
            <w:tcW w:w="140" w:type="dxa"/>
            <w:vAlign w:val="bottom"/>
          </w:tcPr>
          <w:p>
            <w:pPr>
              <w:spacing w:after="0"/>
              <w:rPr>
                <w:sz w:val="12"/>
                <w:szCs w:val="12"/>
                <w:color w:val="auto"/>
              </w:rPr>
            </w:pPr>
          </w:p>
        </w:tc>
        <w:tc>
          <w:tcPr>
            <w:tcW w:w="880" w:type="dxa"/>
            <w:vAlign w:val="bottom"/>
            <w:vMerge w:val="restart"/>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Fiscal 2021</w:t>
            </w:r>
          </w:p>
        </w:tc>
        <w:tc>
          <w:tcPr>
            <w:tcW w:w="100" w:type="dxa"/>
            <w:vAlign w:val="bottom"/>
            <w:vMerge w:val="restart"/>
          </w:tcPr>
          <w:p>
            <w:pPr>
              <w:spacing w:after="0"/>
              <w:rPr>
                <w:sz w:val="12"/>
                <w:szCs w:val="12"/>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 of</w:t>
            </w: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171,781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25.9 %</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127,730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17.1 %</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122,147</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15.9 %</w:t>
            </w:r>
          </w:p>
        </w:tc>
        <w:tc>
          <w:tcPr>
            <w:tcW w:w="0" w:type="dxa"/>
            <w:vAlign w:val="bottom"/>
          </w:tcPr>
          <w:p>
            <w:pPr>
              <w:spacing w:after="0"/>
              <w:rPr>
                <w:sz w:val="1"/>
                <w:szCs w:val="1"/>
                <w:color w:val="auto"/>
              </w:rPr>
            </w:pPr>
          </w:p>
        </w:tc>
      </w:tr>
      <w:tr>
        <w:trPr>
          <w:trHeight w:val="18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Taiwan</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147,842</w:t>
            </w:r>
          </w:p>
        </w:tc>
        <w:tc>
          <w:tcPr>
            <w:tcW w:w="100" w:type="dxa"/>
            <w:vAlign w:val="bottom"/>
          </w:tcPr>
          <w:p>
            <w:pPr>
              <w:spacing w:after="0"/>
              <w:rPr>
                <w:sz w:val="15"/>
                <w:szCs w:val="15"/>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169,789</w:t>
            </w:r>
          </w:p>
        </w:tc>
        <w:tc>
          <w:tcPr>
            <w:tcW w:w="100" w:type="dxa"/>
            <w:vAlign w:val="bottom"/>
          </w:tcPr>
          <w:p>
            <w:pPr>
              <w:spacing w:after="0"/>
              <w:rPr>
                <w:sz w:val="15"/>
                <w:szCs w:val="15"/>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22.7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185,925</w:t>
            </w:r>
          </w:p>
        </w:tc>
        <w:tc>
          <w:tcPr>
            <w:tcW w:w="100" w:type="dxa"/>
            <w:vAlign w:val="bottom"/>
          </w:tcPr>
          <w:p>
            <w:pPr>
              <w:spacing w:after="0"/>
              <w:rPr>
                <w:sz w:val="15"/>
                <w:szCs w:val="15"/>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 Korea</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117,747</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111,419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14.9</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123,463</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8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91,736</w:t>
            </w:r>
          </w:p>
        </w:tc>
        <w:tc>
          <w:tcPr>
            <w:tcW w:w="100" w:type="dxa"/>
            <w:vAlign w:val="bottom"/>
          </w:tcPr>
          <w:p>
            <w:pPr>
              <w:spacing w:after="0"/>
              <w:rPr>
                <w:sz w:val="15"/>
                <w:szCs w:val="15"/>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160,668</w:t>
            </w:r>
          </w:p>
        </w:tc>
        <w:tc>
          <w:tcPr>
            <w:tcW w:w="100" w:type="dxa"/>
            <w:vAlign w:val="bottom"/>
          </w:tcPr>
          <w:p>
            <w:pPr>
              <w:spacing w:after="0"/>
              <w:rPr>
                <w:sz w:val="15"/>
                <w:szCs w:val="15"/>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21.5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163,069</w:t>
            </w:r>
          </w:p>
        </w:tc>
        <w:tc>
          <w:tcPr>
            <w:tcW w:w="100" w:type="dxa"/>
            <w:vAlign w:val="bottom"/>
          </w:tcPr>
          <w:p>
            <w:pPr>
              <w:spacing w:after="0"/>
              <w:rPr>
                <w:sz w:val="15"/>
                <w:szCs w:val="15"/>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38,858</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5.9</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39,246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5.2</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43,705</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36,791</w:t>
            </w:r>
          </w:p>
        </w:tc>
        <w:tc>
          <w:tcPr>
            <w:tcW w:w="100" w:type="dxa"/>
            <w:vAlign w:val="bottom"/>
          </w:tcPr>
          <w:p>
            <w:pPr>
              <w:spacing w:after="0"/>
              <w:rPr>
                <w:sz w:val="15"/>
                <w:szCs w:val="15"/>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38,419</w:t>
            </w:r>
          </w:p>
        </w:tc>
        <w:tc>
          <w:tcPr>
            <w:tcW w:w="100" w:type="dxa"/>
            <w:vAlign w:val="bottom"/>
          </w:tcPr>
          <w:p>
            <w:pPr>
              <w:spacing w:after="0"/>
              <w:rPr>
                <w:sz w:val="15"/>
                <w:szCs w:val="15"/>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36,504</w:t>
            </w:r>
          </w:p>
        </w:tc>
        <w:tc>
          <w:tcPr>
            <w:tcW w:w="100" w:type="dxa"/>
            <w:vAlign w:val="bottom"/>
          </w:tcPr>
          <w:p>
            <w:pPr>
              <w:spacing w:after="0"/>
              <w:rPr>
                <w:sz w:val="15"/>
                <w:szCs w:val="15"/>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Malaysia</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26,601</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4.0</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50,067</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49,485</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18,335</w:t>
            </w:r>
          </w:p>
        </w:tc>
        <w:tc>
          <w:tcPr>
            <w:tcW w:w="100" w:type="dxa"/>
            <w:vAlign w:val="bottom"/>
          </w:tcPr>
          <w:p>
            <w:pPr>
              <w:spacing w:after="0"/>
              <w:rPr>
                <w:sz w:val="15"/>
                <w:szCs w:val="15"/>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39,388</w:t>
            </w:r>
          </w:p>
        </w:tc>
        <w:tc>
          <w:tcPr>
            <w:tcW w:w="100" w:type="dxa"/>
            <w:vAlign w:val="bottom"/>
          </w:tcPr>
          <w:p>
            <w:pPr>
              <w:spacing w:after="0"/>
              <w:rPr>
                <w:sz w:val="15"/>
                <w:szCs w:val="15"/>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36,197</w:t>
            </w:r>
          </w:p>
        </w:tc>
        <w:tc>
          <w:tcPr>
            <w:tcW w:w="100" w:type="dxa"/>
            <w:vAlign w:val="bottom"/>
          </w:tcPr>
          <w:p>
            <w:pPr>
              <w:spacing w:after="0"/>
              <w:rPr>
                <w:sz w:val="15"/>
                <w:szCs w:val="15"/>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 of World</w:t>
            </w: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13,411</w:t>
            </w:r>
          </w:p>
        </w:tc>
        <w:tc>
          <w:tcPr>
            <w:tcW w:w="10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11,211</w:t>
            </w:r>
          </w:p>
        </w:tc>
        <w:tc>
          <w:tcPr>
            <w:tcW w:w="10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9,179</w:t>
            </w:r>
          </w:p>
        </w:tc>
        <w:tc>
          <w:tcPr>
            <w:tcW w:w="10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663,102</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747,937</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769,674</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Geographic revenue information is based on the location to which we ship the product. For example, if a certain South Korean customer purchases through their U.S. subsidiary and requests the products to be shipped to an address in South Korea, this sale will be reflected in the revenue for South Korea rather than U.S.</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Changes in revenue by geographic region in fiscal 2023 compared to fiscal 2022 were primarily attributable to changes in customer demand, shifts in customer regional manufacturing strategies, particularly with our large multinational customers, and product sales mix. More specifically, the increase in revenues for the United States, and decreases in revenues for China and Malaysia, were driven principally by a single large U.S.-based company with operations in these regions that shifted shipments from these regions to the United States. We expect the trade restrictions to continue to drive multinational customers to concentrate operations in regions other than China, impacting our geographical mix. The decrease in revenues for China was also impacted by lowered demand from a large Chinese DRAM integrated device manufacturer and the impact of expanded export license requirements imposed by the U.S. government beginning the fourth quarter of fiscal 2022 for exporting advanced U.S. semiconductor technology to China. These uncertain trade barriers affecting exports and imports between the United States and China contributed to the Company's decision to proceed with the China Transaction.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Revenues and Gross Margins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Cost of revenues consists primarily of manufacturing materials, compensation and benefits, shipping and handling costs, manufacturing-related overhead (including equipment costs, related occupancy, and computer services), warranty adjustments, inventory adjustments (including write-downs for inventory obsolescence), and amortization of certain intangible assets. Our manufacturing operations rely on a limited number of suppliers to provide key components and materials for our products, some of which are a sole source. We order materials and supplies based on backlog and forecasted customer orders. Tooling and setup costs related to changing manufacturing lots at our suppliers are also included in the cost of revenues. We expense all warranty costs, inventory provisions and amortization of certain intangible assets as cost of revenues.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Gross profit and gross margin by segment were as follows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ind w:right="1200"/>
              <w:spacing w:after="0"/>
              <w:rPr>
                <w:sz w:val="20"/>
                <w:szCs w:val="20"/>
                <w:color w:val="auto"/>
              </w:rPr>
            </w:pPr>
            <w:r>
              <w:rPr>
                <w:rFonts w:ascii="Times New Roman" w:cs="Times New Roman" w:eastAsia="Times New Roman" w:hAnsi="Times New Roman"/>
                <w:sz w:val="13"/>
                <w:szCs w:val="13"/>
                <w:b w:val="1"/>
                <w:bCs w:val="1"/>
                <w:color w:val="auto"/>
              </w:rPr>
              <w:t>Fiscal 2023</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48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Probe Cards</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Corporate and Other</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185,392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84,735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(11,547)</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258,580</w:t>
            </w:r>
          </w:p>
        </w:tc>
      </w:tr>
      <w:tr>
        <w:trPr>
          <w:trHeight w:val="184"/>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37.2 %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51.3 %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39.0 %</w:t>
            </w:r>
          </w:p>
        </w:tc>
      </w:tr>
      <w:tr>
        <w:trPr>
          <w:trHeight w:val="259"/>
        </w:trPr>
        <w:tc>
          <w:tcPr>
            <w:tcW w:w="48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7"/>
          </w:tcPr>
          <w:p>
            <w:pPr>
              <w:jc w:val="right"/>
              <w:ind w:right="1240"/>
              <w:spacing w:after="0"/>
              <w:rPr>
                <w:sz w:val="20"/>
                <w:szCs w:val="20"/>
                <w:color w:val="auto"/>
              </w:rPr>
            </w:pPr>
            <w:r>
              <w:rPr>
                <w:rFonts w:ascii="Times New Roman" w:cs="Times New Roman" w:eastAsia="Times New Roman" w:hAnsi="Times New Roman"/>
                <w:sz w:val="13"/>
                <w:szCs w:val="13"/>
                <w:b w:val="1"/>
                <w:bCs w:val="1"/>
                <w:color w:val="auto"/>
              </w:rPr>
              <w:t>Fiscal 2022</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r>
      <w:tr>
        <w:trPr>
          <w:trHeight w:val="161"/>
        </w:trPr>
        <w:tc>
          <w:tcPr>
            <w:tcW w:w="4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Probe Cards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6"/>
              </w:rPr>
              <w:t>Corporate and Other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572"/>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80" w:type="dxa"/>
            <w:vAlign w:val="bottom"/>
            <w:tcBorders>
              <w:top w:val="single" w:sz="8" w:color="auto"/>
            </w:tcBorders>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235,562</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80,937</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(20,490)</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296,009</w:t>
            </w:r>
          </w:p>
        </w:tc>
      </w:tr>
      <w:tr>
        <w:trPr>
          <w:trHeight w:val="184"/>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39.8 %</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39.6 %</w:t>
            </w:r>
          </w:p>
        </w:tc>
      </w:tr>
      <w:tr>
        <w:trPr>
          <w:trHeight w:val="664"/>
        </w:trPr>
        <w:tc>
          <w:tcPr>
            <w:tcW w:w="4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611"/>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87"/>
        </w:trPr>
        <w:tc>
          <w:tcPr>
            <w:tcW w:w="48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3"/>
                <w:szCs w:val="13"/>
                <w:b w:val="1"/>
                <w:bCs w:val="1"/>
                <w:color w:val="auto"/>
              </w:rPr>
              <w:t>Fiscal 2021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Probe Cards</w:t>
            </w:r>
          </w:p>
        </w:tc>
        <w:tc>
          <w:tcPr>
            <w:tcW w:w="340" w:type="dxa"/>
            <w:vAlign w:val="bottom"/>
          </w:tcPr>
          <w:p>
            <w:pPr>
              <w:spacing w:after="0"/>
              <w:rPr>
                <w:sz w:val="14"/>
                <w:szCs w:val="14"/>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2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360" w:type="dxa"/>
            <w:vAlign w:val="bottom"/>
          </w:tcPr>
          <w:p>
            <w:pPr>
              <w:spacing w:after="0"/>
              <w:rPr>
                <w:sz w:val="14"/>
                <w:szCs w:val="14"/>
                <w:color w:val="auto"/>
              </w:rPr>
            </w:pPr>
          </w:p>
        </w:tc>
        <w:tc>
          <w:tcPr>
            <w:tcW w:w="1200" w:type="dxa"/>
            <w:vAlign w:val="bottom"/>
          </w:tcPr>
          <w:p>
            <w:pPr>
              <w:jc w:val="right"/>
              <w:ind w:right="572"/>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279,873</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65,834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(22,940)</w:t>
            </w:r>
          </w:p>
        </w:tc>
        <w:tc>
          <w:tcPr>
            <w:tcW w:w="1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322,767</w:t>
            </w:r>
          </w:p>
        </w:tc>
      </w:tr>
      <w:tr>
        <w:trPr>
          <w:trHeight w:val="184"/>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41.9 %</w:t>
            </w:r>
          </w:p>
        </w:tc>
      </w:tr>
    </w:tbl>
    <w:p>
      <w:pPr>
        <w:spacing w:after="0" w:line="24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Probe Cards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Gross profit and gross margin in the Probe Cards segment decreased in fiscal 2023 compared to fiscal 2022, primarily due to lower revenues and unfavorable absorption of costs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these lower production volumes, partially offset by lower inventory excess and obsolescence reserves.</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Systems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Gross profit and gross margin in the Systems segment remained relatively flat in fiscal 2023 compared to fiscal 2022, despite the increase in revenue primarily as a result of less favorable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product mix.</w:t>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Corporate and Other</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Corporate and Other includes unallocated expenses relating to amortization of intangible assets, inventory, fixed asset, and deferred revenue fair value adjustments due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acquisitions, stock-based compensation, and restructuring charges, net, which are not used in evaluating the results of, or in allocating resources to, our reportable segments. The reduction in Corporate and Other in fiscal 2023, compared to fiscal 2022, is primarily due to a reduction in restructuring charges, partially offset by the increase in stock-based compensation expense. In fiscal 2022, there was $11.8 million in restructuring charges arising from a change in estimate of excess and obsolete inventories and a headcount reduction targeted at aligning our cost structure with reduced demand levels within the Probe Cards segment.</w:t>
      </w:r>
    </w:p>
    <w:p>
      <w:pPr>
        <w:spacing w:after="0" w:line="16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Overall</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Gross profit and gross margin fluctuate with revenue levels, product mix, selling prices, factory loading and material costs. For fiscal 2023 compared to fiscal 2022, gross profit and gross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margins have decreased on lower revenue levels and unfavorable absorption of costs on lower production volumes, partially offset by a reduction of restructuring charges.</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Stock-based compensation expense included in cost of revenues for fiscal 2023 and 2022 was $6.9 million and $3.8 million, respectively. The increase of stock-based compensation in fiscal 2023 compared to fiscal 2022 was driven by an increase in weighted average fair value of awards outstanding and the timing of awards.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695"/>
              <w:spacing w:after="0"/>
              <w:rPr>
                <w:sz w:val="20"/>
                <w:szCs w:val="20"/>
                <w:color w:val="auto"/>
              </w:rPr>
            </w:pPr>
            <w:r>
              <w:rPr>
                <w:rFonts w:ascii="Times New Roman" w:cs="Times New Roman" w:eastAsia="Times New Roman" w:hAnsi="Times New Roman"/>
                <w:sz w:val="13"/>
                <w:szCs w:val="13"/>
                <w:b w:val="1"/>
                <w:bCs w:val="1"/>
                <w:color w:val="auto"/>
                <w:w w:val="97"/>
              </w:rPr>
              <w:t>Fiscal Year Ended</w:t>
            </w: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r>
      <w:tr>
        <w:trPr>
          <w:trHeight w:val="161"/>
        </w:trPr>
        <w:tc>
          <w:tcPr>
            <w:tcW w:w="5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w w:val="95"/>
              </w:rPr>
              <w:t>$ Change</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3"/>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400" w:type="dxa"/>
            <w:vAlign w:val="bottom"/>
          </w:tcPr>
          <w:p>
            <w:pPr>
              <w:spacing w:after="0"/>
              <w:rPr>
                <w:sz w:val="15"/>
                <w:szCs w:val="15"/>
                <w:color w:val="auto"/>
              </w:rPr>
            </w:pPr>
          </w:p>
        </w:tc>
      </w:tr>
      <w:tr>
        <w:trPr>
          <w:trHeight w:val="19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115,765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4"/>
                <w:szCs w:val="14"/>
                <w:color w:val="auto"/>
              </w:rPr>
              <w:t>109,222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6,543</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r>
      <w:tr>
        <w:trPr>
          <w:trHeight w:val="184"/>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revenues</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76"/>
        </w:trPr>
        <w:tc>
          <w:tcPr>
            <w:tcW w:w="5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left="695"/>
              <w:spacing w:after="0"/>
              <w:rPr>
                <w:sz w:val="20"/>
                <w:szCs w:val="20"/>
                <w:color w:val="auto"/>
              </w:rPr>
            </w:pPr>
            <w:r>
              <w:rPr>
                <w:rFonts w:ascii="Times New Roman" w:cs="Times New Roman" w:eastAsia="Times New Roman" w:hAnsi="Times New Roman"/>
                <w:sz w:val="13"/>
                <w:szCs w:val="13"/>
                <w:b w:val="1"/>
                <w:bCs w:val="1"/>
                <w:color w:val="auto"/>
                <w:w w:val="97"/>
              </w:rPr>
              <w:t>Fiscal Year Ended</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61"/>
        </w:trPr>
        <w:tc>
          <w:tcPr>
            <w:tcW w:w="5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December 25, 2021</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w w:val="95"/>
              </w:rPr>
              <w:t>$ Change</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3"/>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400" w:type="dxa"/>
            <w:vAlign w:val="bottom"/>
          </w:tcPr>
          <w:p>
            <w:pPr>
              <w:spacing w:after="0"/>
              <w:rPr>
                <w:sz w:val="15"/>
                <w:szCs w:val="15"/>
                <w:color w:val="auto"/>
              </w:rPr>
            </w:pPr>
          </w:p>
        </w:tc>
      </w:tr>
      <w:tr>
        <w:trPr>
          <w:trHeight w:val="19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109,222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4"/>
                <w:szCs w:val="14"/>
                <w:color w:val="auto"/>
              </w:rPr>
              <w:t>100,937</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8,285</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8.2 %</w:t>
            </w:r>
          </w:p>
        </w:tc>
      </w:tr>
      <w:tr>
        <w:trPr>
          <w:trHeight w:val="184"/>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revenues</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bl>
    <w:p>
      <w:pPr>
        <w:spacing w:after="0" w:line="2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increase in research and development expense in fiscal 2023 compared to fiscal 2022 was primarily driven by an increase in headcount designed to support our continued investment in technology leadership. Increased stock-based compensation, depreciation, and general operational costs, also contributed to the increase. These increases were partially offset by lower performance-based compensation and restructuring charges.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color w:val="auto"/>
        </w:rPr>
        <w:t>The components of this increase were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960" w:type="dxa"/>
            <w:vAlign w:val="bottom"/>
          </w:tcPr>
          <w:p>
            <w:pPr>
              <w:spacing w:after="0"/>
              <w:rPr>
                <w:sz w:val="12"/>
                <w:szCs w:val="1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Fiscal 2023 compared</w:t>
            </w:r>
          </w:p>
        </w:tc>
      </w:tr>
      <w:tr>
        <w:trPr>
          <w:trHeight w:val="169"/>
        </w:trPr>
        <w:tc>
          <w:tcPr>
            <w:tcW w:w="99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to Fiscal 2022</w:t>
            </w:r>
          </w:p>
        </w:tc>
      </w:tr>
      <w:tr>
        <w:trPr>
          <w:trHeight w:val="172"/>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compensation costs</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3,861</w:t>
            </w:r>
          </w:p>
        </w:tc>
      </w:tr>
      <w:tr>
        <w:trPr>
          <w:trHeight w:val="180"/>
        </w:trPr>
        <w:tc>
          <w:tcPr>
            <w:tcW w:w="9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w:t>
            </w:r>
          </w:p>
        </w:tc>
      </w:tr>
      <w:tr>
        <w:trPr>
          <w:trHeight w:val="18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r>
      <w:tr>
        <w:trPr>
          <w:trHeight w:val="180"/>
        </w:trPr>
        <w:tc>
          <w:tcPr>
            <w:tcW w:w="9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operational costs</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r>
      <w:tr>
        <w:trPr>
          <w:trHeight w:val="18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charges</w:t>
            </w: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r>
      <w:tr>
        <w:trPr>
          <w:trHeight w:val="171"/>
        </w:trPr>
        <w:tc>
          <w:tcPr>
            <w:tcW w:w="9960" w:type="dxa"/>
            <w:vAlign w:val="bottom"/>
          </w:tcPr>
          <w:p>
            <w:pPr>
              <w:spacing w:after="0"/>
              <w:rPr>
                <w:sz w:val="14"/>
                <w:szCs w:val="14"/>
                <w:color w:val="auto"/>
              </w:rPr>
            </w:pPr>
          </w:p>
        </w:tc>
        <w:tc>
          <w:tcPr>
            <w:tcW w:w="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6,543</w:t>
            </w:r>
          </w:p>
        </w:tc>
      </w:tr>
      <w:tr>
        <w:trPr>
          <w:trHeight w:val="20"/>
        </w:trPr>
        <w:tc>
          <w:tcPr>
            <w:tcW w:w="9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Stock-based compensation expense included within research and development in fiscal 2023 and 2022 was $10.7 million and $8.2 million, respectively. The increase of stock-based compensation expense in fiscal 2023 compared to fiscal 2022 was driven by an increase in weighted average fair value of awards outstanding and the timing of awards.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695"/>
              <w:spacing w:after="0"/>
              <w:rPr>
                <w:sz w:val="20"/>
                <w:szCs w:val="20"/>
                <w:color w:val="auto"/>
              </w:rPr>
            </w:pPr>
            <w:r>
              <w:rPr>
                <w:rFonts w:ascii="Times New Roman" w:cs="Times New Roman" w:eastAsia="Times New Roman" w:hAnsi="Times New Roman"/>
                <w:sz w:val="13"/>
                <w:szCs w:val="13"/>
                <w:b w:val="1"/>
                <w:bCs w:val="1"/>
                <w:color w:val="auto"/>
                <w:w w:val="97"/>
              </w:rPr>
              <w:t>Fiscal Year Ended</w:t>
            </w: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r>
      <w:tr>
        <w:trPr>
          <w:trHeight w:val="161"/>
        </w:trPr>
        <w:tc>
          <w:tcPr>
            <w:tcW w:w="5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w w:val="95"/>
              </w:rPr>
              <w:t>$ Change</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3"/>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400" w:type="dxa"/>
            <w:vAlign w:val="bottom"/>
          </w:tcPr>
          <w:p>
            <w:pPr>
              <w:spacing w:after="0"/>
              <w:rPr>
                <w:sz w:val="15"/>
                <w:szCs w:val="15"/>
                <w:color w:val="auto"/>
              </w:rPr>
            </w:pPr>
          </w:p>
        </w:tc>
      </w:tr>
      <w:tr>
        <w:trPr>
          <w:trHeight w:val="19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133,012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4"/>
                <w:szCs w:val="14"/>
                <w:color w:val="auto"/>
              </w:rPr>
              <w:t>131,875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w:t>
            </w:r>
          </w:p>
        </w:tc>
      </w:tr>
      <w:tr>
        <w:trPr>
          <w:trHeight w:val="184"/>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revenues</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76"/>
        </w:trPr>
        <w:tc>
          <w:tcPr>
            <w:tcW w:w="5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left="695"/>
              <w:spacing w:after="0"/>
              <w:rPr>
                <w:sz w:val="20"/>
                <w:szCs w:val="20"/>
                <w:color w:val="auto"/>
              </w:rPr>
            </w:pPr>
            <w:r>
              <w:rPr>
                <w:rFonts w:ascii="Times New Roman" w:cs="Times New Roman" w:eastAsia="Times New Roman" w:hAnsi="Times New Roman"/>
                <w:sz w:val="13"/>
                <w:szCs w:val="13"/>
                <w:b w:val="1"/>
                <w:bCs w:val="1"/>
                <w:color w:val="auto"/>
                <w:w w:val="97"/>
              </w:rPr>
              <w:t>Fiscal Year Ended</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61"/>
        </w:trPr>
        <w:tc>
          <w:tcPr>
            <w:tcW w:w="5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December 25, 2021</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w w:val="95"/>
              </w:rPr>
              <w:t>$ Change</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3"/>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400" w:type="dxa"/>
            <w:vAlign w:val="bottom"/>
          </w:tcPr>
          <w:p>
            <w:pPr>
              <w:spacing w:after="0"/>
              <w:rPr>
                <w:sz w:val="15"/>
                <w:szCs w:val="15"/>
                <w:color w:val="auto"/>
              </w:rPr>
            </w:pPr>
          </w:p>
        </w:tc>
      </w:tr>
      <w:tr>
        <w:trPr>
          <w:trHeight w:val="19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131,875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4"/>
                <w:szCs w:val="14"/>
                <w:color w:val="auto"/>
              </w:rPr>
              <w:t>123,792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8,083</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4"/>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revenues</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16.1 %</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bl>
    <w:p>
      <w:pPr>
        <w:spacing w:after="0" w:line="2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increase in selling, general and administrative expense in fiscal 2023 compared to fiscal 2022 was primarily driven by increased general operating expenses, increased costs from the sale of our FRT business, higher stock-based compensation expense, and higher consulting costs, partially offset by lower employee compensation from decreased headcount and lower performance-based compensation, lower amortization of intangibles, and lower restructuring charges.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this overall increase were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960" w:type="dxa"/>
            <w:vAlign w:val="bottom"/>
          </w:tcPr>
          <w:p>
            <w:pPr>
              <w:spacing w:after="0"/>
              <w:rPr>
                <w:sz w:val="12"/>
                <w:szCs w:val="12"/>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Fiscal 2023 compared</w:t>
            </w:r>
          </w:p>
        </w:tc>
      </w:tr>
      <w:tr>
        <w:trPr>
          <w:trHeight w:val="169"/>
        </w:trPr>
        <w:tc>
          <w:tcPr>
            <w:tcW w:w="99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7"/>
              </w:rPr>
              <w:t>to Fiscal 2022</w:t>
            </w:r>
          </w:p>
        </w:tc>
      </w:tr>
      <w:tr>
        <w:trPr>
          <w:trHeight w:val="172"/>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operating expenses</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4"/>
                <w:szCs w:val="14"/>
                <w:color w:val="auto"/>
              </w:rPr>
              <w:t>2,428</w:t>
            </w:r>
          </w:p>
        </w:tc>
      </w:tr>
      <w:tr>
        <w:trPr>
          <w:trHeight w:val="180"/>
        </w:trPr>
        <w:tc>
          <w:tcPr>
            <w:tcW w:w="9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 of business</w:t>
            </w:r>
          </w:p>
        </w:tc>
        <w:tc>
          <w:tcPr>
            <w:tcW w:w="200" w:type="dxa"/>
            <w:vAlign w:val="bottom"/>
          </w:tcPr>
          <w:p>
            <w:pPr>
              <w:spacing w:after="0"/>
              <w:rPr>
                <w:sz w:val="15"/>
                <w:szCs w:val="15"/>
                <w:color w:val="auto"/>
              </w:rPr>
            </w:pPr>
          </w:p>
        </w:tc>
        <w:tc>
          <w:tcPr>
            <w:tcW w:w="1120" w:type="dxa"/>
            <w:vAlign w:val="bottom"/>
          </w:tcPr>
          <w:p>
            <w:pPr>
              <w:jc w:val="center"/>
              <w:ind w:left="610"/>
              <w:spacing w:after="0"/>
              <w:rPr>
                <w:sz w:val="20"/>
                <w:szCs w:val="20"/>
                <w:color w:val="auto"/>
              </w:rPr>
            </w:pPr>
            <w:r>
              <w:rPr>
                <w:rFonts w:ascii="Times New Roman" w:cs="Times New Roman" w:eastAsia="Times New Roman" w:hAnsi="Times New Roman"/>
                <w:sz w:val="14"/>
                <w:szCs w:val="14"/>
                <w:color w:val="auto"/>
              </w:rPr>
              <w:t>2,407</w:t>
            </w:r>
          </w:p>
        </w:tc>
      </w:tr>
      <w:tr>
        <w:trPr>
          <w:trHeight w:val="18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4"/>
                <w:szCs w:val="14"/>
                <w:color w:val="auto"/>
              </w:rPr>
              <w:t>1,797</w:t>
            </w:r>
          </w:p>
        </w:tc>
      </w:tr>
      <w:tr>
        <w:trPr>
          <w:trHeight w:val="180"/>
        </w:trPr>
        <w:tc>
          <w:tcPr>
            <w:tcW w:w="9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Consulting fees</w:t>
            </w:r>
          </w:p>
        </w:tc>
        <w:tc>
          <w:tcPr>
            <w:tcW w:w="200" w:type="dxa"/>
            <w:vAlign w:val="bottom"/>
          </w:tcPr>
          <w:p>
            <w:pPr>
              <w:spacing w:after="0"/>
              <w:rPr>
                <w:sz w:val="15"/>
                <w:szCs w:val="15"/>
                <w:color w:val="auto"/>
              </w:rPr>
            </w:pPr>
          </w:p>
        </w:tc>
        <w:tc>
          <w:tcPr>
            <w:tcW w:w="1120" w:type="dxa"/>
            <w:vAlign w:val="bottom"/>
          </w:tcPr>
          <w:p>
            <w:pPr>
              <w:jc w:val="center"/>
              <w:ind w:left="610"/>
              <w:spacing w:after="0"/>
              <w:rPr>
                <w:sz w:val="20"/>
                <w:szCs w:val="20"/>
                <w:color w:val="auto"/>
              </w:rPr>
            </w:pPr>
            <w:r>
              <w:rPr>
                <w:rFonts w:ascii="Times New Roman" w:cs="Times New Roman" w:eastAsia="Times New Roman" w:hAnsi="Times New Roman"/>
                <w:sz w:val="14"/>
                <w:szCs w:val="14"/>
                <w:color w:val="auto"/>
              </w:rPr>
              <w:t>1,339</w:t>
            </w:r>
          </w:p>
        </w:tc>
      </w:tr>
      <w:tr>
        <w:trPr>
          <w:trHeight w:val="18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charges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4"/>
                <w:szCs w:val="14"/>
                <w:color w:val="auto"/>
              </w:rPr>
              <w:t>(1,274)</w:t>
            </w:r>
          </w:p>
        </w:tc>
      </w:tr>
      <w:tr>
        <w:trPr>
          <w:trHeight w:val="180"/>
        </w:trPr>
        <w:tc>
          <w:tcPr>
            <w:tcW w:w="9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200" w:type="dxa"/>
            <w:vAlign w:val="bottom"/>
          </w:tcPr>
          <w:p>
            <w:pPr>
              <w:spacing w:after="0"/>
              <w:rPr>
                <w:sz w:val="15"/>
                <w:szCs w:val="15"/>
                <w:color w:val="auto"/>
              </w:rPr>
            </w:pPr>
          </w:p>
        </w:tc>
        <w:tc>
          <w:tcPr>
            <w:tcW w:w="1120" w:type="dxa"/>
            <w:vAlign w:val="bottom"/>
          </w:tcPr>
          <w:p>
            <w:pPr>
              <w:jc w:val="center"/>
              <w:ind w:left="590"/>
              <w:spacing w:after="0"/>
              <w:rPr>
                <w:sz w:val="20"/>
                <w:szCs w:val="20"/>
                <w:color w:val="auto"/>
              </w:rPr>
            </w:pPr>
            <w:r>
              <w:rPr>
                <w:rFonts w:ascii="Times New Roman" w:cs="Times New Roman" w:eastAsia="Times New Roman" w:hAnsi="Times New Roman"/>
                <w:sz w:val="14"/>
                <w:szCs w:val="14"/>
                <w:color w:val="auto"/>
              </w:rPr>
              <w:t>(2,396)</w:t>
            </w:r>
          </w:p>
        </w:tc>
      </w:tr>
      <w:tr>
        <w:trPr>
          <w:trHeight w:val="18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compensation</w:t>
            </w: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4"/>
                <w:szCs w:val="14"/>
                <w:color w:val="auto"/>
              </w:rPr>
              <w:t>(3,164)</w:t>
            </w:r>
          </w:p>
        </w:tc>
      </w:tr>
      <w:tr>
        <w:trPr>
          <w:trHeight w:val="171"/>
        </w:trPr>
        <w:tc>
          <w:tcPr>
            <w:tcW w:w="9960" w:type="dxa"/>
            <w:vAlign w:val="bottom"/>
          </w:tcPr>
          <w:p>
            <w:pPr>
              <w:spacing w:after="0"/>
              <w:rPr>
                <w:sz w:val="14"/>
                <w:szCs w:val="14"/>
                <w:color w:val="auto"/>
              </w:rPr>
            </w:pPr>
          </w:p>
        </w:tc>
        <w:tc>
          <w:tcPr>
            <w:tcW w:w="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4"/>
                <w:szCs w:val="14"/>
                <w:color w:val="auto"/>
              </w:rPr>
              <w:t>1,137</w:t>
            </w:r>
          </w:p>
        </w:tc>
      </w:tr>
      <w:tr>
        <w:trPr>
          <w:trHeight w:val="20"/>
        </w:trPr>
        <w:tc>
          <w:tcPr>
            <w:tcW w:w="9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Stock-based compensation expense included within selling, general and administrative in fiscal 2023 and 2022 was $21.1 million and $19.3 million, respectively. The increase of stock-based compensation in fiscal 2023 compared to fiscal 2022 was driven by an increase in weighted average fair value of awards outstanding and the timing of awards.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i w:val="1"/>
          <w:iCs w:val="1"/>
          <w:color w:val="auto"/>
        </w:rPr>
        <w:t>Gain on sale of business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Gain on sale of business represents the gain on the sale of our FRT business of $73.0 million during the fourth quarter of fiscal 2023. See Note 5, </w:t>
      </w:r>
      <w:r>
        <w:rPr>
          <w:rFonts w:ascii="Times New Roman" w:cs="Times New Roman" w:eastAsia="Times New Roman" w:hAnsi="Times New Roman"/>
          <w:sz w:val="14"/>
          <w:szCs w:val="14"/>
          <w:i w:val="1"/>
          <w:iCs w:val="1"/>
          <w:color w:val="auto"/>
        </w:rPr>
        <w:t>Divestiture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 and Interest Expense</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Interest income is earned on our cash, cash equivalents, restricted cash and marketable securities. The increase in interest income in fiscal 2023 compared to fiscal 2022 was attributable to an increase in investment yields due to the higher interest rate environment as well as an increased average invested balance.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Interest expense primarily includes interest on our term loan, interest rate swap derivative contract, and term loan issuance costs amortization charges. The decrease in interest expense in fiscal 2023 compared to fiscal 2022 was primarily due to lower outstanding debt balances.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Other income (expense), net, includes the effects of foreign currency and various other gains and losses. The decrease in Other income (expense), net, in fiscal 2023 compared to fiscal 2022 was primarily attributable to an other than temporary impairment on a debt receivable for $1.1 million and a decrease in foreign exchange gains. Foreign exchange gains for fiscal 2023 were $0.6 million.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Fiscal Year Ended</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61"/>
        </w:trPr>
        <w:tc>
          <w:tcPr>
            <w:tcW w:w="7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w w:val="98"/>
              </w:rPr>
              <w:t>December 25, 2021</w:t>
            </w:r>
          </w:p>
        </w:tc>
      </w:tr>
      <w:tr>
        <w:trPr>
          <w:trHeight w:val="173"/>
        </w:trPr>
        <w:tc>
          <w:tcPr>
            <w:tcW w:w="7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6,880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7,132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14,576</w:t>
            </w:r>
          </w:p>
        </w:tc>
      </w:tr>
      <w:tr>
        <w:trPr>
          <w:trHeight w:val="184"/>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12.3 %</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14.8 %</w:t>
            </w:r>
          </w:p>
        </w:tc>
      </w:tr>
    </w:tbl>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Provision for income taxes reflects the tax provision on our operations in foreign and U.S. jurisdictions, offset by tax benefits from tax credits and the foreign-derived intangible income (“FDII”) deduction. Our effective tax rate may vary from period to period based on changes in estimated taxable income or loss by jurisdiction, changes to the valuation allowance, changes to U.S. federal, state or foreign tax laws, changes in stock-based compensation expense/benefit, future expansion into areas with varying country, state, and local income tax rates, and deductibility of certain costs and expenses by jurisdiction.</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decrease in our effective tax rate for the fiscal year ended December 30, 2023, when compared to the corresponding period in the prior year, was primarily driven by the sale of our FRT business and the related capital gain exclusion for German tax purposes. This significant benefit was offset by other items impacting the effective tax rate at a different percentage amount than the prior year due to increased income before taxes in fiscal 2023.</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Creating Helpful Incentives to Produce Semiconductors and Science Act of 2022 (the “CHIPS Act”) was signed into law on August 9, 2022. The CHIPS Act provides for various incentives and tax credits, among other items, including the Advanced Manufacturing Investment Credit (“AMIC”), which equals 25% of qualified investments in an advanced manufacturing facility that is placed in service after December 31, 2022. At least a portion of our future capital expenditures and research and development costs will qualify for this credit, which benefits us by allowing us to net the credit received against our costs. The AMIC credit is accounted for outside of ASC 740 as a reduction to the depreciable basis of the assets used in operations and will not have an impact on our effective tax rate.</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Beginning in 2022, the U.S. Tax Cuts and Jobs Act of 2017 eliminated the existing option to deduct research and development expenditures and requires taxpayers to amortize such expenditures attributable to domestic and foreign research over five and fifteen years, respectively, pursuant to IRC Section 174. While the capitalization requirement has a negative impact on our cash flows, there are offsetting benefits from the enactment of this provision that we have included in our estimated annual effective tax rate. While it is possible that Congress may defer, modify, or repeal this provision, potentially with retroactive effect, we have no assurance that this provision will be deferred, modified, or repealed. Changes in our tax provisions or an increase in our tax liabilities, whether due to changes in applicable laws and regulations, the interpretation or application thereof, or a final determination of tax audits or litigation or agreements, could have a material adverse effect on our financial position,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 Resources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working capital increased to $442.7 million at December 30, 2023 compared to $324.9 million at December 31, 2022.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Cash and cash equivalents primarily consist of deposits held at banks, money market funds, and U.S. treasuries. Marketable securities primarily consist of corporate bonds, U.S. treasuries and agency securities, and commercial paper. We typically invest in highly-rated securities with low probabilities of default. Our investment policy requires investments to be rated single A or better, and limits the types of acceptable investments, issuer concentration and duration of the investment.</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cash, cash equivalents and marketable securities totaled approximately $328.3 million at December 30, 2023 compared to $238.1 million at December 31, 2022. Based on our historical results of operations, we expect that our cash, cash equivalents, and marketable securities on hand, and the cash we expect to generate from operations, will be sufficient to fund, through at least the next 12 months, our liquidity requirements including those arising from: research and development, capital expenditures, working capital, outstanding commitments, and other liquidity requirements associated with existing operations. However, we cannot be certain that our cash, cash equivalents, and marketable securities on hand, and cash generated from operations, will be available in the future to fund all of our capital and operating requirements. In addition, any future strategic investments and significant acquisitions may require additional cash and capital resources. To the extent necessary, we may consider entering into short and long-term debt obligations, raising cash through a stock issuance, or obtaining new financing facilities, which may not be available on terms favorable to us. If we are unable to obtain sufficient cash or capital to meet our needs on a timely basis and on favorable terms, our business and operations could be materially and adversely affected.</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we are unsuccessful in maintaining or growing our revenues, maintaining or reducing our cost structure, or increasing our available cash through debt or equity financings, our cash, cash equivalents and marketable securities may decline.</w:t>
      </w:r>
    </w:p>
    <w:p>
      <w:pPr>
        <w:spacing w:after="0" w:line="14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utilize a variety of tax planning and financing strategies in an effort to manage our worldwide cash and deploy funds to locations where they are needed. As part of these strategies, we indefinitely reinvest a portion of our foreign earnings. Should we require additional capital in the United States, we may elect to repatriate indefinitely-reinvested foreign funds or raise capital in the United States.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Fiscal Year Ended</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7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w w:val="98"/>
              </w:rPr>
              <w:t>December 25, 2021</w:t>
            </w:r>
          </w:p>
        </w:tc>
      </w:tr>
      <w:tr>
        <w:trPr>
          <w:trHeight w:val="173"/>
        </w:trPr>
        <w:tc>
          <w:tcPr>
            <w:tcW w:w="7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4"/>
                <w:szCs w:val="14"/>
                <w:color w:val="auto"/>
                <w:w w:val="98"/>
              </w:rPr>
              <w:t>64,602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131,786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139,364</w:t>
            </w:r>
          </w:p>
        </w:tc>
      </w:tr>
      <w:tr>
        <w:trPr>
          <w:trHeight w:val="180"/>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20" w:type="dxa"/>
            <w:vAlign w:val="bottom"/>
          </w:tcPr>
          <w:p>
            <w:pPr>
              <w:spacing w:after="0"/>
              <w:rPr>
                <w:sz w:val="15"/>
                <w:szCs w:val="15"/>
                <w:color w:val="auto"/>
              </w:rPr>
            </w:pPr>
          </w:p>
        </w:tc>
        <w:tc>
          <w:tcPr>
            <w:tcW w:w="1200" w:type="dxa"/>
            <w:vAlign w:val="bottom"/>
          </w:tcPr>
          <w:p>
            <w:pPr>
              <w:jc w:val="center"/>
              <w:ind w:left="631"/>
              <w:spacing w:after="0"/>
              <w:rPr>
                <w:sz w:val="20"/>
                <w:szCs w:val="20"/>
                <w:color w:val="auto"/>
              </w:rPr>
            </w:pPr>
            <w:r>
              <w:rPr>
                <w:rFonts w:ascii="Times New Roman" w:cs="Times New Roman" w:eastAsia="Times New Roman" w:hAnsi="Times New Roman"/>
                <w:sz w:val="14"/>
                <w:szCs w:val="14"/>
                <w:color w:val="auto"/>
                <w:w w:val="98"/>
              </w:rPr>
              <w:t>29,049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(75,704)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(124,741)</w:t>
            </w:r>
          </w:p>
        </w:tc>
      </w:tr>
      <w:tr>
        <w:trPr>
          <w:trHeight w:val="18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611"/>
              <w:spacing w:after="0"/>
              <w:rPr>
                <w:sz w:val="20"/>
                <w:szCs w:val="20"/>
                <w:color w:val="auto"/>
              </w:rPr>
            </w:pPr>
            <w:r>
              <w:rPr>
                <w:rFonts w:ascii="Times New Roman" w:cs="Times New Roman" w:eastAsia="Times New Roman" w:hAnsi="Times New Roman"/>
                <w:sz w:val="14"/>
                <w:szCs w:val="14"/>
                <w:color w:val="auto"/>
              </w:rPr>
              <w:t>(22,711)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(95,932)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(47,199)</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Net cash provided by operating activities consists of net income for the period adjusted for certain non-cash items and changes in certain operating assets and liabilities. The $67.2 million decrease in cash provided by operating activities for fiscal 2023, as compared to fiscal 2022, was primarily related to decreased net income, after adjusting for the impact from the $73.0 million gain recognized on the sale of our FRT business, and an investment in working capital of $14.1 million, due primarily to higher accounts receivable and lower deferred revenue that were partially offset by an increase from a deferred grant of $18.0 million and lower inventories. In January 2023, we received $18.0 million in cash from a California Competes Grant awarded from the California Governor’s Office of Business and Economic Development, subject to job creation and other commitments over a 5-year term. See Note 2, </w:t>
      </w:r>
      <w:r>
        <w:rPr>
          <w:rFonts w:ascii="Times New Roman" w:cs="Times New Roman" w:eastAsia="Times New Roman" w:hAnsi="Times New Roman"/>
          <w:sz w:val="14"/>
          <w:szCs w:val="14"/>
          <w:i w:val="1"/>
          <w:iCs w:val="1"/>
          <w:color w:val="auto"/>
        </w:rPr>
        <w:t>Government Assistance,</w:t>
      </w:r>
      <w:r>
        <w:rPr>
          <w:rFonts w:ascii="Times New Roman" w:cs="Times New Roman" w:eastAsia="Times New Roman" w:hAnsi="Times New Roman"/>
          <w:sz w:val="14"/>
          <w:szCs w:val="14"/>
          <w:color w:val="auto"/>
        </w:rPr>
        <w:t xml:space="preserve"> of Notes to Consolidated Financial Statements for additional information.</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cash provided by operating activities in fiscal 2023 was primarily attributable to net income of $82.4 million and net non-cash items of $14.4 million, which include depreciation, amortization, stock-based compensation, and the provision for excess and obsolete inventories, partially offset by the adjustment for the $73.0 million gain from the sale of our FRT business. Net working capital resulted in an outflow of $32.2 million, primarily related to an increase in accounts receivable of $23.3 million, a decrease in deferred revenues of $10.2 million, an increase in inventories of $9.5 million, and a reduction in operating lease liabilities of $7.6 million, partially offset by an increase from a deferred grant of $18.0 million.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Net cash provided by investing activities in fiscal 2023 primarily related to $101.8 million cash provided by the sale of our FRT business, partially offset by $56.0 million of cash used in the acquisition of property, plant and equipment and $16.7 million used for the purchase of marketable securities, net of maturities.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Net cash used in financing activities in fiscal 2023 primarily related to $19.8 million used to purchase common stock under our stock repurchase program, $10.7 million used to pay tax withholdings for net share settlements of employee equity awards, and $1.0 million of principal payments made towards the repayment of our term loan, partially offset by $8.8 million of proceeds received from issuances of common stock under our stock incentive plans.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Debt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June 22, 2020, we entered into an $18.0 million 15-year credit facility loan agreement (the “Building Term Loan”) with MUFG Union Bank, National Association (“Union Bank”). The proceeds of the Building Term Loan were used to purchase a building adjacent to our leased facilities in Livermore, California. On May 19, 2023, we amended the Building Term Loan, replacing the benchmark reference rate LIBOR with SOFR, with no change to the amount or timing of contractual cash flows.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Building Term Loan bears interest at a rate equal to the applicable SOFR rate, plus 0.1148%, plus 1.75% per annum. Interest payments are payable in monthly installments over a fifteen-year period. The interest rate at December 30, 2023, before consideration of the interest rate swap, was 7.20%.</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On March 17, 2020, we entered into an interest rate swap agreement with Union Bank to hedge the interest payments on the Building Term Loan for the notional amount of $18.0 million. As future levels of LIBOR over the life of the loan were uncertain, we entered into this interest-rate swap agreement to hedge the exposure in interest rate risks associated with movement in LIBOR rates. This agreement was amended on May 19, 2023 to replace the benchmark reference rate LIBOR with SOFR to match the Building Term Loan agreement (as amended). After the amendment, the interest rate swap continues to convert our floating-rate interest into a fixed-rate of 2.75%. As of December 30, 2023, the notional amount of the loan that is subject to this interest rate swap was $14.4 million. See Note 10, </w:t>
      </w:r>
      <w:r>
        <w:rPr>
          <w:rFonts w:ascii="Times New Roman" w:cs="Times New Roman" w:eastAsia="Times New Roman" w:hAnsi="Times New Roman"/>
          <w:sz w:val="14"/>
          <w:szCs w:val="14"/>
          <w:i w:val="1"/>
          <w:iCs w:val="1"/>
          <w:color w:val="auto"/>
        </w:rPr>
        <w:t>Fair Value</w:t>
      </w:r>
      <w:r>
        <w:rPr>
          <w:rFonts w:ascii="Times New Roman" w:cs="Times New Roman" w:eastAsia="Times New Roman" w:hAnsi="Times New Roman"/>
          <w:sz w:val="14"/>
          <w:szCs w:val="14"/>
          <w:color w:val="auto"/>
        </w:rPr>
        <w:t>, for additional information.</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obligations under the Building Term Loan are guaranteed by a deed of trust covering certain real property and improvements and certain personal property used in connection therewith. The deed of trust creates a first priority lien or encumbrance on the property with only such exceptions as may be approved by Union Bank in writing.</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Building Term Loan contains covenants customary for financing of this type. As of December 30, 2023, the balance outstanding pursuant to the Building Term Loan was $14.4 million, and we were in compliance with all covenants under the agreement.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Repurchase Programs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October 26, 2020, our Board of Directors authorized a two-year program to repurchase up to $50 million of outstanding common stock to offset potential dilution from issuances of common stock under our stock-based compensation programs. During fiscal 2021 and 2022, we repurchased and retired 622,400 shares of common stock for $24.0 million and 676,408 shares of common stock for $26.0 million, respectively, utilizing the remaining shares available for repurchase under the program.</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20, 2022, our Board of Directors authorized a two-year program to repurchase up to $75 million of outstanding common stock to offset potential dilution from issuance of common stock under our stock-based compensation programs. During fiscal 2022 and 2023, we repurchased and retired 1,700,893 shares of common stock for $56.4 million and 504,352 shares of common stock for $18.6 million, respectively, utilizing the remaining shares available for repurchase under the program.</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October 30, 2023, our Board of Directors authorized an additional program to repurchase up to $75 million of outstanding common stock, also with the primary purpose of offsetting potential dilution from issuance of common stock under our stock-based compensation programs. This share repurchase program will expire on October 30, 2025. During fiscal 2023, we repurchased and retired 32,020 shares of common stock for $1.2 million and as of December 30, 2023 $73.8 million remained available for future repurchases.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significant contractual commitments to make future payments in cash under contractual obligations as of December 30, 2023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Payments Due In Fiscal Year</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restart"/>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restart"/>
          </w:tcPr>
          <w:p>
            <w:pPr>
              <w:jc w:val="right"/>
              <w:ind w:right="312"/>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restart"/>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2027</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restart"/>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2028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3"/>
                <w:szCs w:val="13"/>
                <w:b w:val="1"/>
                <w:bCs w:val="1"/>
                <w:color w:val="auto"/>
                <w:w w:val="99"/>
              </w:rPr>
              <w:t>2029 and</w:t>
            </w:r>
          </w:p>
        </w:tc>
        <w:tc>
          <w:tcPr>
            <w:tcW w:w="220" w:type="dxa"/>
            <w:vAlign w:val="bottom"/>
          </w:tcPr>
          <w:p>
            <w:pPr>
              <w:spacing w:after="0"/>
              <w:rPr>
                <w:sz w:val="10"/>
                <w:szCs w:val="10"/>
                <w:color w:val="auto"/>
              </w:rPr>
            </w:pPr>
          </w:p>
        </w:tc>
        <w:tc>
          <w:tcPr>
            <w:tcW w:w="760" w:type="dxa"/>
            <w:vAlign w:val="bottom"/>
            <w:vMerge w:val="restart"/>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thereafter</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7,586</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7,154</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38,594</w:t>
            </w:r>
          </w:p>
        </w:tc>
        <w:tc>
          <w:tcPr>
            <w:tcW w:w="0" w:type="dxa"/>
            <w:vAlign w:val="bottom"/>
          </w:tcPr>
          <w:p>
            <w:pPr>
              <w:spacing w:after="0"/>
              <w:rPr>
                <w:sz w:val="1"/>
                <w:szCs w:val="1"/>
                <w:color w:val="auto"/>
              </w:rPr>
            </w:pPr>
          </w:p>
        </w:tc>
      </w:tr>
      <w:tr>
        <w:trPr>
          <w:trHeight w:val="18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 principal payments</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14,448</w:t>
            </w: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Term loan - interest payments</w:t>
            </w:r>
            <w:r>
              <w:rPr>
                <w:rFonts w:ascii="Times New Roman" w:cs="Times New Roman" w:eastAsia="Times New Roman" w:hAnsi="Times New Roman"/>
                <w:sz w:val="18"/>
                <w:szCs w:val="18"/>
                <w:color w:val="auto"/>
                <w:vertAlign w:val="superscript"/>
              </w:rPr>
              <w:t>(1)</w:t>
            </w: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6,443</w:t>
            </w:r>
          </w:p>
        </w:tc>
        <w:tc>
          <w:tcPr>
            <w:tcW w:w="0" w:type="dxa"/>
            <w:vAlign w:val="bottom"/>
          </w:tcPr>
          <w:p>
            <w:pPr>
              <w:spacing w:after="0"/>
              <w:rPr>
                <w:sz w:val="1"/>
                <w:szCs w:val="1"/>
                <w:color w:val="auto"/>
              </w:rPr>
            </w:pPr>
          </w:p>
        </w:tc>
      </w:tr>
      <w:tr>
        <w:trPr>
          <w:trHeight w:val="171"/>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11,263</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9,585</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9,102</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5,766</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12,327</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59,485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140" w:hanging="135"/>
        <w:spacing w:after="0"/>
        <w:tabs>
          <w:tab w:leader="none" w:pos="14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our minimum interest payment commitments at 7.20% per annum, excluding the interest rate swap described in Debt, above.</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table above excludes our gross liability for unrecognized tax benefits and our deferred grant. The gross liability for unrecognized tax benefits was $45.6 million as of December 30, 2023. The timing of any payments which could result from these unrecognized tax benefits will depend upon a number of factors and, accordingly, the timing of payment cannot be estimated. The deferred grant was $18.0 million as of December 30, 2023. The timing of any potential repayments is dependent upon a number of factors, including the number of employees and capital investments. Accordingly, the timing of any repayment cannot be estimated.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 Arrangements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have entered, and may from time to time in the ordinary course of our business enter, into contractual arrangements with third parties that include indemnification obligations. Under these contractual arrangements, we have agreed to defend, indemnify and/or hold the third party harmless from and against certain liabilities. These arrangements include indemnities in favor of customers in the event that our products or services infringe a third party's intellectual property, or cause property damage or other indemnities in favor of our lessors in connection with facility leasehold liabilities that we may cause. In addition, we have entered into indemnification agreements with our directors and certain of our officers, and our bylaws contain indemnification obligations in favor of our directors, officers and agents. These indemnity arrangements may limit the type of the claim, the total amount that we can be required to pay in connection with the indemnification obligation and the time within which an indemnification claim can be made. The duration of the indemnification obligation may vary, and for most arrangements, survives the agreement term and is indefinite. We believe that substantially all of our indemnity arrangements provide either for limitations on the maximum potential future payments we could be obligated to make, or for limitations on the types of claims and damages we could be obligated to indemnify, or both. However, it is not possible to determine or reasonably estimate the maximum potential amount of future payments under these indemnification obligations due to the varying terms of such obligations, a lack of history of prior indemnification claims, the unique facts and circumstances involved in each particular contractual arrangement and in each potential future claim for indemnification, and the contingency of any potential liabilities upon the occurrence of events that are not reasonably determinable. We have not had any material requests for indemnification under these arrangements. We have not recorded any liabilities for these indemnification arrangements on our Consolidated Balance Sheets as of December 30, 2023 or December 31,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Pronouncements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18, </w:t>
      </w:r>
      <w:r>
        <w:rPr>
          <w:rFonts w:ascii="Times New Roman" w:cs="Times New Roman" w:eastAsia="Times New Roman" w:hAnsi="Times New Roman"/>
          <w:sz w:val="14"/>
          <w:szCs w:val="14"/>
          <w:i w:val="1"/>
          <w:iCs w:val="1"/>
          <w:color w:val="auto"/>
        </w:rPr>
        <w:t>New Accounting Pronouncements</w:t>
      </w:r>
      <w:r>
        <w:rPr>
          <w:rFonts w:ascii="Times New Roman" w:cs="Times New Roman" w:eastAsia="Times New Roman" w:hAnsi="Times New Roman"/>
          <w:sz w:val="14"/>
          <w:szCs w:val="14"/>
          <w:color w:val="auto"/>
        </w:rPr>
        <w:t>, of Notes to Consolidated Financial Statements.</w:t>
      </w:r>
    </w:p>
    <w:p>
      <w:pPr>
        <w:spacing w:after="0" w:line="18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7A:</w:t>
      </w:r>
      <w:r>
        <w:rPr>
          <w:sz w:val="20"/>
          <w:szCs w:val="20"/>
          <w:color w:val="auto"/>
        </w:rPr>
        <w:tab/>
      </w:r>
      <w:r>
        <w:rPr>
          <w:rFonts w:ascii="Times New Roman" w:cs="Times New Roman" w:eastAsia="Times New Roman" w:hAnsi="Times New Roman"/>
          <w:sz w:val="14"/>
          <w:szCs w:val="14"/>
          <w:b w:val="1"/>
          <w:bCs w:val="1"/>
          <w:i w:val="1"/>
          <w:iCs w:val="1"/>
          <w:color w:val="auto"/>
        </w:rPr>
        <w:t>Quantitative and Qualitative Disclosures about Market Risk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Exchange Risk</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 certain operations in foreign currencies. We enter into currency forward exchange contracts to hedge a portion, but not all, of existing foreign currency denominated amounts. Gains and losses on these contracts are generally recognized in Other income (expense), net in our Consolidated Statements of Income. Because the effect of movements in currency exchange rates on the currency forward exchange contracts generally offsets the related effect on the underlying items being hedged, these financial instruments are not expected to subject us to risks that would otherwise result from changes in currency exchange rates as of December 30, 2023. We do not use derivative financial instruments for trading or speculative purposes.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color w:val="auto"/>
        </w:rPr>
        <w:t>We recognized a net gain from foreign exchange of $0.6 million, $1.1 million, and zero in fiscal 2023, 2022, and 2021,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Sensitivity</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exposure to market risk for changes in interest rates relates primarily to our investment portfolio. We invest in a number of securities including U.S. treasuries, U.S. agency discount notes, money market funds, corporate bonds, and commercial paper. We attempt to maintain the safety and preservation of our invested principal funds by limiting default risk, market risk and reinvestment risk. We mitigate default risk by investing in high grade investment securities. By policy, we limit the amount of credit exposure to an issuer, except U.S. treasuries and U.S. agencies.</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Our exposure to interest rate risk arising from our Term Loan (see Note 6,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of Notes to Consolidated Financial Statements) is insignificant as a result of the interest-rate swap agreement (see Note 9,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 of Notes to Consolidated Financial Statements) that we entered into with Union Bank to hedge the interest payments on our Building Term Loan.</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use interest rate derivative instruments to manage certain interest rate exposures. We do not use derivative instruments for trading or speculative purposes. The fair market value of our fixed rate securities may be adversely impacted by increases in interest rates while income earned on floating rate securities may decline as a result of decreases in interest rates. A hypothetical 100 basis-point (one percentage point) increase or decrease in interest rates compared to rates at December 30, 2023 and December 31, 2022 would have affected the fair value of our investment portfolio by $2.5 million and $2.1 million, respectively.</w:t>
      </w:r>
    </w:p>
    <w:p>
      <w:pPr>
        <w:spacing w:after="0" w:line="16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4"/>
          <w:szCs w:val="14"/>
          <w:b w:val="1"/>
          <w:bCs w:val="1"/>
          <w:i w:val="1"/>
          <w:iCs w:val="1"/>
          <w:color w:val="auto"/>
        </w:rPr>
        <w:t>Financial Statements and Supplementary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Financial Statements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and supplementary data required by this item are included in the section entitled “Consolidated Financial Statements” of this Annual Report on Form 10-K. See Part VI, Item 15 for a list of our consolidated financial statements.</w:t>
      </w:r>
    </w:p>
    <w:p>
      <w:pPr>
        <w:spacing w:after="0" w:line="1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9:</w:t>
      </w:r>
      <w:r>
        <w:rPr>
          <w:sz w:val="20"/>
          <w:szCs w:val="20"/>
          <w:color w:val="auto"/>
        </w:rPr>
        <w:tab/>
      </w:r>
      <w:r>
        <w:rPr>
          <w:rFonts w:ascii="Times New Roman" w:cs="Times New Roman" w:eastAsia="Times New Roman" w:hAnsi="Times New Roman"/>
          <w:sz w:val="14"/>
          <w:szCs w:val="14"/>
          <w:b w:val="1"/>
          <w:bCs w:val="1"/>
          <w:i w:val="1"/>
          <w:iCs w:val="1"/>
          <w:color w:val="auto"/>
        </w:rPr>
        <w:t>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9A:</w:t>
      </w:r>
      <w:r>
        <w:rPr>
          <w:sz w:val="20"/>
          <w:szCs w:val="20"/>
          <w:color w:val="auto"/>
        </w:rPr>
        <w:tab/>
      </w:r>
      <w:r>
        <w:rPr>
          <w:rFonts w:ascii="Times New Roman" w:cs="Times New Roman" w:eastAsia="Times New Roman" w:hAnsi="Times New Roman"/>
          <w:sz w:val="14"/>
          <w:szCs w:val="14"/>
          <w:b w:val="1"/>
          <w:bCs w:val="1"/>
          <w:i w:val="1"/>
          <w:iCs w:val="1"/>
          <w:color w:val="auto"/>
        </w:rPr>
        <w:t>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Based on our management’s evaluation (with the participation of our principal executive officer and principal financial officer), as of the end of the period covered by this report, our principal executive officer and principal financial officer have concluded that our disclosure controls and procedures (as defined in Rules 13a-15(e) and 15d-15(e) under the Securities Exchange Act of 1934, as amended, (the “Exchange Act”)) were effective as of December 30, 2023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principal executive officer and principal financial officer, as appropriate to allow timely decisions regarding required disclosure.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defined in Rules 13a-15(f) and 15d-15(f) under the Exchange Act) that occurred during the fourth quarter of fiscal 2023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our principal executive officer and principal financial officer, and effected by our board of directors,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38" w:name="page39"/>
    <w:bookmarkEnd w:id="38"/>
    <w:p>
      <w:pPr>
        <w:spacing w:after="0" w:line="263" w:lineRule="auto"/>
        <w:rPr>
          <w:sz w:val="20"/>
          <w:szCs w:val="20"/>
          <w:color w:val="auto"/>
        </w:rPr>
      </w:pPr>
      <w:r>
        <w:rPr>
          <w:rFonts w:ascii="Times New Roman" w:cs="Times New Roman" w:eastAsia="Times New Roman" w:hAnsi="Times New Roman"/>
          <w:sz w:val="14"/>
          <w:szCs w:val="14"/>
          <w:color w:val="auto"/>
        </w:rPr>
        <w:t>management and other personnel and consultants,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 w:lineRule="exact"/>
        <w:rPr>
          <w:sz w:val="20"/>
          <w:szCs w:val="20"/>
          <w:color w:val="auto"/>
        </w:rPr>
      </w:pPr>
    </w:p>
    <w:p>
      <w:pPr>
        <w:ind w:left="540" w:hanging="280"/>
        <w:spacing w:after="0"/>
        <w:tabs>
          <w:tab w:leader="none" w:pos="5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our transactions and dispositions of assets;</w:t>
      </w:r>
    </w:p>
    <w:p>
      <w:pPr>
        <w:spacing w:after="0" w:line="8" w:lineRule="exact"/>
        <w:rPr>
          <w:rFonts w:ascii="Times New Roman" w:cs="Times New Roman" w:eastAsia="Times New Roman" w:hAnsi="Times New Roman"/>
          <w:sz w:val="14"/>
          <w:szCs w:val="14"/>
          <w:color w:val="auto"/>
        </w:rPr>
      </w:pPr>
    </w:p>
    <w:p>
      <w:pPr>
        <w:ind w:left="580" w:hanging="320"/>
        <w:spacing w:after="0" w:line="253" w:lineRule="auto"/>
        <w:tabs>
          <w:tab w:leader="none" w:pos="59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the authorization of our management and directors; and</w:t>
      </w:r>
    </w:p>
    <w:p>
      <w:pPr>
        <w:ind w:left="580" w:hanging="320"/>
        <w:spacing w:after="0" w:line="266" w:lineRule="auto"/>
        <w:tabs>
          <w:tab w:leader="none" w:pos="68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our assets that could have a material effect on the financial statements.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 xml:space="preserve">Under the supervision and with the participation of our management, including our principal executive officer and principal financial officer, we conducted an assessment of the effectiveness of our internal control over financial reporting as of December 30, 2023. In making this assessment, our management used the criteria set forth in </w:t>
      </w:r>
      <w:r>
        <w:rPr>
          <w:rFonts w:ascii="Times New Roman" w:cs="Times New Roman" w:eastAsia="Times New Roman" w:hAnsi="Times New Roman"/>
          <w:sz w:val="14"/>
          <w:szCs w:val="14"/>
          <w:i w:val="1"/>
          <w:iCs w:val="1"/>
          <w:color w:val="auto"/>
        </w:rPr>
        <w:t>Internal Control-Integrated Framework (2013)</w:t>
      </w:r>
      <w:r>
        <w:rPr>
          <w:rFonts w:ascii="Times New Roman" w:cs="Times New Roman" w:eastAsia="Times New Roman" w:hAnsi="Times New Roman"/>
          <w:sz w:val="14"/>
          <w:szCs w:val="14"/>
          <w:color w:val="auto"/>
        </w:rPr>
        <w:t xml:space="preserve"> issued by the Committee of Sponsoring Organizations of the Treadway Commission (“COSO”). Based on the results of this assessment, management has concluded that our internal control over financial reporting was effective as of December 30, 2023.</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effectiveness of our internal control over financial reporting as of December 30, 2023 has been audited by KPMG LLP, an independent registered public accounting firm, as stated in their report which appears in this Annual Report on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on the Effectiveness of Controls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Control systems, no matter how well designed and operated, can provide only reasonable, not absolute, assurance that the control systems’ objectives are being met. Further, the design of any control systems must reflect the fact that there are resource constraints, and the benefits of all controls must be considered relative to their costs.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 making can be faulty and that breakdowns can occur because of simple error or mistake. Control systems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CEO and CFO Certifications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attached as exhibits to this Annual Report on Form 10-K the certifications of our Chief Executive Officer and Chief Financial Officer, which are required in accordance with the Exchange Act. We recommend that this Item 9A be read in conjunction with the certifications for a more complete understanding of the subject matter presented.</w:t>
      </w:r>
    </w:p>
    <w:p>
      <w:pPr>
        <w:spacing w:after="0" w:line="14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9B:</w:t>
      </w:r>
      <w:r>
        <w:rPr>
          <w:sz w:val="20"/>
          <w:szCs w:val="20"/>
          <w:color w:val="auto"/>
        </w:rPr>
        <w:tab/>
      </w:r>
      <w:r>
        <w:rPr>
          <w:rFonts w:ascii="Times New Roman" w:cs="Times New Roman" w:eastAsia="Times New Roman" w:hAnsi="Times New Roman"/>
          <w:sz w:val="14"/>
          <w:szCs w:val="14"/>
          <w:b w:val="1"/>
          <w:bCs w:val="1"/>
          <w:i w:val="1"/>
          <w:iCs w:val="1"/>
          <w:color w:val="auto"/>
        </w:rPr>
        <w:t>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Insider Trading Arrangements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quarter ended December 30, 2023, none of our directors or officers (as defined in Rule 16a-1(f) of the Exchange Act) adopted or terminated a “Rule 10b5-1 trading arrangement” or “non-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Rule 10b5-1 trading arrangement” (as those terms are defined in Item 408 of Regulation S-K), except as follows:</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Dr. Mike Slessor, the Company’s Chief Executive Officer, adopted a Rule 10b5-1 trading arrangement on November 20, 2023. Under this arrangement, a total of 84,002 shares of our common stock may be sold, subject to certain conditions, after March 1, 2024 and before the arrangement expires on November 5,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above arrangement is intended to satisfy the affirmative defense conditions of Rule 10b5-1(c) of the Exchange Act.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9" w:name="page40"/>
    <w:bookmarkEnd w:id="39"/>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9C:</w:t>
      </w:r>
      <w:r>
        <w:rPr>
          <w:sz w:val="20"/>
          <w:szCs w:val="20"/>
          <w:color w:val="auto"/>
        </w:rPr>
        <w:tab/>
      </w:r>
      <w:r>
        <w:rPr>
          <w:rFonts w:ascii="Times New Roman" w:cs="Times New Roman" w:eastAsia="Times New Roman" w:hAnsi="Times New Roman"/>
          <w:sz w:val="14"/>
          <w:szCs w:val="14"/>
          <w:b w:val="1"/>
          <w:bCs w:val="1"/>
          <w:i w:val="1"/>
          <w:iCs w:val="1"/>
          <w:color w:val="auto"/>
        </w:rPr>
        <w:t>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27"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10:</w:t>
      </w:r>
      <w:r>
        <w:rPr>
          <w:sz w:val="20"/>
          <w:szCs w:val="20"/>
          <w:color w:val="auto"/>
        </w:rPr>
        <w:tab/>
      </w:r>
      <w:r>
        <w:rPr>
          <w:rFonts w:ascii="Times New Roman" w:cs="Times New Roman" w:eastAsia="Times New Roman" w:hAnsi="Times New Roman"/>
          <w:sz w:val="14"/>
          <w:szCs w:val="14"/>
          <w:b w:val="1"/>
          <w:bCs w:val="1"/>
          <w:i w:val="1"/>
          <w:iCs w:val="1"/>
          <w:color w:val="auto"/>
        </w:rPr>
        <w:t>Directors, Executive Officers and Corporate Governance</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proxy statement for our 2024 Annual Meeting of Stockholders under the captions Corporate Governance, Executive Officers, and, if applicable, Delinquent Section 16 Reports.</w:t>
      </w:r>
    </w:p>
    <w:p>
      <w:pPr>
        <w:spacing w:after="0" w:line="14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11:</w:t>
      </w:r>
      <w:r>
        <w:rPr>
          <w:sz w:val="20"/>
          <w:szCs w:val="20"/>
          <w:color w:val="auto"/>
        </w:rPr>
        <w:tab/>
      </w:r>
      <w:r>
        <w:rPr>
          <w:rFonts w:ascii="Times New Roman" w:cs="Times New Roman" w:eastAsia="Times New Roman" w:hAnsi="Times New Roman"/>
          <w:sz w:val="14"/>
          <w:szCs w:val="14"/>
          <w:b w:val="1"/>
          <w:bCs w:val="1"/>
          <w:i w:val="1"/>
          <w:iCs w:val="1"/>
          <w:color w:val="auto"/>
        </w:rPr>
        <w:t>Executive Compensation</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proxy statement for our 2024 Annual Meeting of Stockholders under the captions Executive Compensation and Related Information, Compensation Committee Interlocks and Insider Participation and Report of the Compensation Committee.</w:t>
      </w:r>
    </w:p>
    <w:p>
      <w:pPr>
        <w:spacing w:after="0" w:line="1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12:</w:t>
      </w:r>
      <w:r>
        <w:rPr>
          <w:sz w:val="20"/>
          <w:szCs w:val="20"/>
          <w:color w:val="auto"/>
        </w:rPr>
        <w:tab/>
      </w:r>
      <w:r>
        <w:rPr>
          <w:rFonts w:ascii="Times New Roman" w:cs="Times New Roman" w:eastAsia="Times New Roman" w:hAnsi="Times New Roman"/>
          <w:sz w:val="14"/>
          <w:szCs w:val="14"/>
          <w:b w:val="1"/>
          <w:bCs w:val="1"/>
          <w:i w:val="1"/>
          <w:iCs w:val="1"/>
          <w:color w:val="auto"/>
        </w:rPr>
        <w:t>Security Ownership of Certain Beneficial Owners and Management and Related Stockholder Matters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proxy statement for our 2024 Annual Meeting of Stockholders under the captions Security Ownership of Certain Beneficial Owners and Management and Related Stockholder Matters, and Equity Compensation Plans.</w:t>
      </w:r>
    </w:p>
    <w:p>
      <w:pPr>
        <w:spacing w:after="0" w:line="1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13:</w:t>
      </w:r>
      <w:r>
        <w:rPr>
          <w:sz w:val="20"/>
          <w:szCs w:val="20"/>
          <w:color w:val="auto"/>
        </w:rPr>
        <w:tab/>
      </w:r>
      <w:r>
        <w:rPr>
          <w:rFonts w:ascii="Times New Roman" w:cs="Times New Roman" w:eastAsia="Times New Roman" w:hAnsi="Times New Roman"/>
          <w:sz w:val="14"/>
          <w:szCs w:val="14"/>
          <w:b w:val="1"/>
          <w:bCs w:val="1"/>
          <w:i w:val="1"/>
          <w:iCs w:val="1"/>
          <w:color w:val="auto"/>
        </w:rPr>
        <w:t>Certain Relationships and Related Transactions, and Director Independence</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proxy statement for our 2024 Annual Meeting of Stockholders under the captions Certain Relationships and Related Transactions and Independence of Directors.</w:t>
      </w:r>
    </w:p>
    <w:p>
      <w:pPr>
        <w:spacing w:after="0" w:line="1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i w:val="1"/>
          <w:iCs w:val="1"/>
          <w:color w:val="auto"/>
        </w:rPr>
        <w:t>Principal Accountant Fees and Services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independent registered public accounting firm is KPMG, LLP; Portland, Oregon; Auditor Firm ID: 185.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proxy statement for our 2024 Annual Meeting of Stockholders under the caption Principal Auditor Fees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6"/>
        </w:trPr>
        <w:tc>
          <w:tcPr>
            <w:tcW w:w="10120" w:type="dxa"/>
            <w:vAlign w:val="bottom"/>
          </w:tcPr>
          <w:p>
            <w:pPr>
              <w:ind w:left="536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61"/>
        </w:trPr>
        <w:tc>
          <w:tcPr>
            <w:tcW w:w="10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Item 15:  </w:t>
            </w:r>
            <w:r>
              <w:rPr>
                <w:rFonts w:ascii="Times New Roman" w:cs="Times New Roman" w:eastAsia="Times New Roman" w:hAnsi="Times New Roman"/>
                <w:sz w:val="14"/>
                <w:szCs w:val="14"/>
                <w:b w:val="1"/>
                <w:bCs w:val="1"/>
                <w:i w:val="1"/>
                <w:iCs w:val="1"/>
                <w:color w:val="auto"/>
              </w:rPr>
              <w:t>Exhibits and Financial Statement Schedules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61"/>
        </w:trPr>
        <w:tc>
          <w:tcPr>
            <w:tcW w:w="10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Statements and Schedules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61"/>
        </w:trPr>
        <w:tc>
          <w:tcPr>
            <w:tcW w:w="10120" w:type="dxa"/>
            <w:vAlign w:val="bottom"/>
          </w:tcPr>
          <w:p>
            <w:pPr>
              <w:spacing w:after="0"/>
              <w:rPr>
                <w:sz w:val="20"/>
                <w:szCs w:val="20"/>
                <w:color w:val="auto"/>
              </w:rPr>
            </w:pPr>
            <w:r>
              <w:rPr>
                <w:rFonts w:ascii="Times New Roman" w:cs="Times New Roman" w:eastAsia="Times New Roman" w:hAnsi="Times New Roman"/>
                <w:sz w:val="14"/>
                <w:szCs w:val="14"/>
                <w:color w:val="auto"/>
              </w:rPr>
              <w:t>The Consolidated Financial Statements, together with the report thereon of KPMG LLP, are included on the pages indicated below:</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
        </w:trPr>
        <w:tc>
          <w:tcPr>
            <w:tcW w:w="10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0"/>
        </w:trPr>
        <w:tc>
          <w:tcPr>
            <w:tcW w:w="10120" w:type="dxa"/>
            <w:vAlign w:val="bottom"/>
            <w:shd w:val="clear" w:color="auto" w:fill="CCEEFF"/>
          </w:tcPr>
          <w:p>
            <w:pPr>
              <w:spacing w:after="0"/>
              <w:rPr>
                <w:sz w:val="15"/>
                <w:szCs w:val="15"/>
                <w:color w:val="auto"/>
              </w:rPr>
            </w:pPr>
          </w:p>
        </w:tc>
        <w:tc>
          <w:tcPr>
            <w:tcW w:w="116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Page</w:t>
            </w:r>
          </w:p>
        </w:tc>
      </w:tr>
      <w:tr>
        <w:trPr>
          <w:trHeight w:val="145"/>
        </w:trPr>
        <w:tc>
          <w:tcPr>
            <w:tcW w:w="10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Report of Independent Registered Public Accounting Firm</w:t>
            </w:r>
          </w:p>
        </w:tc>
        <w:tc>
          <w:tcPr>
            <w:tcW w:w="500" w:type="dxa"/>
            <w:vAlign w:val="bottom"/>
          </w:tcPr>
          <w:p>
            <w:pPr>
              <w:spacing w:after="0"/>
              <w:rPr>
                <w:sz w:val="12"/>
                <w:szCs w:val="12"/>
                <w:color w:val="auto"/>
              </w:rPr>
            </w:pPr>
          </w:p>
        </w:tc>
        <w:tc>
          <w:tcPr>
            <w:tcW w:w="160" w:type="dxa"/>
            <w:vAlign w:val="bottom"/>
            <w:tcBorders>
              <w:bottom w:val="single" w:sz="8" w:color="0000FF"/>
            </w:tcBorders>
          </w:tcPr>
          <w:p>
            <w:pPr>
              <w:jc w:val="center"/>
              <w:spacing w:after="0" w:line="139" w:lineRule="exact"/>
              <w:rPr>
                <w:sz w:val="20"/>
                <w:szCs w:val="20"/>
                <w:color w:val="auto"/>
              </w:rPr>
            </w:pPr>
            <w:r>
              <w:rPr>
                <w:rFonts w:ascii="Times New Roman" w:cs="Times New Roman" w:eastAsia="Times New Roman" w:hAnsi="Times New Roman"/>
                <w:sz w:val="14"/>
                <w:szCs w:val="14"/>
                <w:color w:val="0000FF"/>
              </w:rPr>
              <w:t>47</w:t>
            </w:r>
          </w:p>
        </w:tc>
        <w:tc>
          <w:tcPr>
            <w:tcW w:w="500" w:type="dxa"/>
            <w:vAlign w:val="bottom"/>
          </w:tcPr>
          <w:p>
            <w:pPr>
              <w:spacing w:after="0"/>
              <w:rPr>
                <w:sz w:val="12"/>
                <w:szCs w:val="12"/>
                <w:color w:val="auto"/>
              </w:rPr>
            </w:pPr>
          </w:p>
        </w:tc>
      </w:tr>
      <w:tr>
        <w:trPr>
          <w:trHeight w:val="166"/>
        </w:trPr>
        <w:tc>
          <w:tcPr>
            <w:tcW w:w="101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Consolidated Balance Sheets as of December 30, 2023 and December 31, 2022</w:t>
            </w:r>
          </w:p>
        </w:tc>
        <w:tc>
          <w:tcPr>
            <w:tcW w:w="5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rPr>
              <w:t>49</w:t>
            </w:r>
          </w:p>
        </w:tc>
        <w:tc>
          <w:tcPr>
            <w:tcW w:w="500" w:type="dxa"/>
            <w:vAlign w:val="bottom"/>
            <w:tcBorders>
              <w:bottom w:val="single" w:sz="8" w:color="CCEEFF"/>
            </w:tcBorders>
            <w:shd w:val="clear" w:color="auto" w:fill="CCEEFF"/>
          </w:tcPr>
          <w:p>
            <w:pPr>
              <w:spacing w:after="0"/>
              <w:rPr>
                <w:sz w:val="14"/>
                <w:szCs w:val="14"/>
                <w:color w:val="auto"/>
              </w:rPr>
            </w:pPr>
          </w:p>
        </w:tc>
      </w:tr>
      <w:tr>
        <w:trPr>
          <w:trHeight w:val="154"/>
        </w:trPr>
        <w:tc>
          <w:tcPr>
            <w:tcW w:w="10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Statements of Income for the fiscal years ended December 30, 2023, December 31, 2022 and December 25, 2021</w:t>
            </w:r>
          </w:p>
        </w:tc>
        <w:tc>
          <w:tcPr>
            <w:tcW w:w="500" w:type="dxa"/>
            <w:vAlign w:val="bottom"/>
          </w:tcPr>
          <w:p>
            <w:pPr>
              <w:spacing w:after="0"/>
              <w:rPr>
                <w:sz w:val="13"/>
                <w:szCs w:val="13"/>
                <w:color w:val="auto"/>
              </w:rPr>
            </w:pPr>
          </w:p>
        </w:tc>
        <w:tc>
          <w:tcPr>
            <w:tcW w:w="16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rPr>
              <w:t>50</w:t>
            </w:r>
          </w:p>
        </w:tc>
        <w:tc>
          <w:tcPr>
            <w:tcW w:w="500" w:type="dxa"/>
            <w:vAlign w:val="bottom"/>
          </w:tcPr>
          <w:p>
            <w:pPr>
              <w:spacing w:after="0"/>
              <w:rPr>
                <w:sz w:val="13"/>
                <w:szCs w:val="13"/>
                <w:color w:val="auto"/>
              </w:rPr>
            </w:pPr>
          </w:p>
        </w:tc>
      </w:tr>
      <w:tr>
        <w:trPr>
          <w:trHeight w:val="166"/>
        </w:trPr>
        <w:tc>
          <w:tcPr>
            <w:tcW w:w="101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Consolidated Statements of Comprehensive Income for the fiscal years ended December 30, 2023, December 31, 2022 and December 25, 2021</w:t>
            </w:r>
          </w:p>
        </w:tc>
        <w:tc>
          <w:tcPr>
            <w:tcW w:w="5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rPr>
              <w:t>51</w:t>
            </w:r>
          </w:p>
        </w:tc>
        <w:tc>
          <w:tcPr>
            <w:tcW w:w="500" w:type="dxa"/>
            <w:vAlign w:val="bottom"/>
            <w:tcBorders>
              <w:bottom w:val="single" w:sz="8" w:color="CCEEFF"/>
            </w:tcBorders>
            <w:shd w:val="clear" w:color="auto" w:fill="CCEEFF"/>
          </w:tcPr>
          <w:p>
            <w:pPr>
              <w:spacing w:after="0"/>
              <w:rPr>
                <w:sz w:val="14"/>
                <w:szCs w:val="14"/>
                <w:color w:val="auto"/>
              </w:rPr>
            </w:pPr>
          </w:p>
        </w:tc>
      </w:tr>
      <w:tr>
        <w:trPr>
          <w:trHeight w:val="154"/>
        </w:trPr>
        <w:tc>
          <w:tcPr>
            <w:tcW w:w="10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Statements of Stockholders' Equity for the fiscal years ended December 30, 2023, December 31, 2022 and December 25, 2021</w:t>
            </w:r>
          </w:p>
        </w:tc>
        <w:tc>
          <w:tcPr>
            <w:tcW w:w="500" w:type="dxa"/>
            <w:vAlign w:val="bottom"/>
          </w:tcPr>
          <w:p>
            <w:pPr>
              <w:spacing w:after="0"/>
              <w:rPr>
                <w:sz w:val="13"/>
                <w:szCs w:val="13"/>
                <w:color w:val="auto"/>
              </w:rPr>
            </w:pPr>
          </w:p>
        </w:tc>
        <w:tc>
          <w:tcPr>
            <w:tcW w:w="16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rPr>
              <w:t>52</w:t>
            </w:r>
          </w:p>
        </w:tc>
        <w:tc>
          <w:tcPr>
            <w:tcW w:w="500" w:type="dxa"/>
            <w:vAlign w:val="bottom"/>
          </w:tcPr>
          <w:p>
            <w:pPr>
              <w:spacing w:after="0"/>
              <w:rPr>
                <w:sz w:val="13"/>
                <w:szCs w:val="13"/>
                <w:color w:val="auto"/>
              </w:rPr>
            </w:pPr>
          </w:p>
        </w:tc>
      </w:tr>
      <w:tr>
        <w:trPr>
          <w:trHeight w:val="166"/>
        </w:trPr>
        <w:tc>
          <w:tcPr>
            <w:tcW w:w="101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Consolidated Statements of Cash Flows for the fiscal years ended December 30, 2023, December 31, 2022 and December 25, 2021</w:t>
            </w:r>
          </w:p>
        </w:tc>
        <w:tc>
          <w:tcPr>
            <w:tcW w:w="5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rPr>
              <w:t>53</w:t>
            </w:r>
          </w:p>
        </w:tc>
        <w:tc>
          <w:tcPr>
            <w:tcW w:w="500" w:type="dxa"/>
            <w:vAlign w:val="bottom"/>
            <w:tcBorders>
              <w:bottom w:val="single" w:sz="8" w:color="CCEEFF"/>
            </w:tcBorders>
            <w:shd w:val="clear" w:color="auto" w:fill="CCEEFF"/>
          </w:tcPr>
          <w:p>
            <w:pPr>
              <w:spacing w:after="0"/>
              <w:rPr>
                <w:sz w:val="14"/>
                <w:szCs w:val="14"/>
                <w:color w:val="auto"/>
              </w:rPr>
            </w:pPr>
          </w:p>
        </w:tc>
      </w:tr>
      <w:tr>
        <w:trPr>
          <w:trHeight w:val="149"/>
        </w:trPr>
        <w:tc>
          <w:tcPr>
            <w:tcW w:w="10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Notes to Consolidated Financial Statements</w:t>
            </w:r>
          </w:p>
        </w:tc>
        <w:tc>
          <w:tcPr>
            <w:tcW w:w="500" w:type="dxa"/>
            <w:vAlign w:val="bottom"/>
          </w:tcPr>
          <w:p>
            <w:pPr>
              <w:spacing w:after="0"/>
              <w:rPr>
                <w:sz w:val="12"/>
                <w:szCs w:val="12"/>
                <w:color w:val="auto"/>
              </w:rPr>
            </w:pPr>
          </w:p>
        </w:tc>
        <w:tc>
          <w:tcPr>
            <w:tcW w:w="16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rPr>
              <w:t>55</w:t>
            </w:r>
          </w:p>
        </w:tc>
        <w:tc>
          <w:tcPr>
            <w:tcW w:w="500" w:type="dxa"/>
            <w:vAlign w:val="bottom"/>
          </w:tcPr>
          <w:p>
            <w:pPr>
              <w:spacing w:after="0"/>
              <w:rPr>
                <w:sz w:val="12"/>
                <w:szCs w:val="12"/>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statement schedules have been omitted because they are not applicable or the required information is shown in the consolidated financial statements or notes thereto.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exhibits listed in the accompanying index to exhibits are filed or incorporated by reference as part of this Annual Report on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16: </w:t>
      </w:r>
      <w:r>
        <w:rPr>
          <w:rFonts w:ascii="Times New Roman" w:cs="Times New Roman" w:eastAsia="Times New Roman" w:hAnsi="Times New Roman"/>
          <w:sz w:val="14"/>
          <w:szCs w:val="14"/>
          <w:b w:val="1"/>
          <w:bCs w:val="1"/>
          <w:i w:val="1"/>
          <w:iCs w:val="1"/>
          <w:color w:val="auto"/>
        </w:rPr>
        <w:t>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280" w:type="dxa"/>
            <w:vAlign w:val="bottom"/>
            <w:gridSpan w:val="6"/>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Exhibit</w:t>
            </w:r>
          </w:p>
        </w:tc>
        <w:tc>
          <w:tcPr>
            <w:tcW w:w="412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9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4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2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Date of</w:t>
            </w:r>
          </w:p>
        </w:tc>
        <w:tc>
          <w:tcPr>
            <w:tcW w:w="9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53"/>
        </w:trPr>
        <w:tc>
          <w:tcPr>
            <w:tcW w:w="1280" w:type="dxa"/>
            <w:vAlign w:val="bottom"/>
            <w:gridSpan w:val="6"/>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12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First Filing</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Herewith</w:t>
            </w:r>
          </w:p>
        </w:tc>
        <w:tc>
          <w:tcPr>
            <w:tcW w:w="0" w:type="dxa"/>
            <w:vAlign w:val="bottom"/>
          </w:tcPr>
          <w:p>
            <w:pPr>
              <w:spacing w:after="0"/>
              <w:rPr>
                <w:sz w:val="1"/>
                <w:szCs w:val="1"/>
                <w:color w:val="auto"/>
              </w:rPr>
            </w:pPr>
          </w:p>
        </w:tc>
      </w:tr>
      <w:tr>
        <w:trPr>
          <w:trHeight w:val="112"/>
        </w:trPr>
        <w:tc>
          <w:tcPr>
            <w:tcW w:w="1140" w:type="dxa"/>
            <w:vAlign w:val="bottom"/>
            <w:tcBorders>
              <w:top w:val="single" w:sz="8" w:color="auto"/>
            </w:tcBorders>
            <w:gridSpan w:val="5"/>
            <w:shd w:val="clear" w:color="auto" w:fill="CCEEFF"/>
          </w:tcPr>
          <w:p>
            <w:pPr>
              <w:jc w:val="right"/>
              <w:spacing w:after="0" w:line="112" w:lineRule="exact"/>
              <w:rPr>
                <w:rFonts w:ascii="Times New Roman" w:cs="Times New Roman" w:eastAsia="Times New Roman" w:hAnsi="Times New Roman"/>
                <w:sz w:val="11"/>
                <w:szCs w:val="11"/>
                <w:color w:val="0000FF"/>
              </w:rPr>
            </w:pPr>
            <w:hyperlink r:id="rId57">
              <w:r>
                <w:rPr>
                  <w:rFonts w:ascii="Times New Roman" w:cs="Times New Roman" w:eastAsia="Times New Roman" w:hAnsi="Times New Roman"/>
                  <w:sz w:val="11"/>
                  <w:szCs w:val="11"/>
                  <w:color w:val="0000FF"/>
                </w:rPr>
                <w:t>3.</w:t>
              </w:r>
              <w:r>
                <w:rPr>
                  <w:rFonts w:ascii="Times New Roman" w:cs="Times New Roman" w:eastAsia="Times New Roman" w:hAnsi="Times New Roman"/>
                  <w:sz w:val="11"/>
                  <w:szCs w:val="11"/>
                  <w:u w:val="single" w:color="auto"/>
                  <w:color w:val="0000FF"/>
                </w:rPr>
                <w:t>1</w:t>
              </w:r>
            </w:hyperlink>
          </w:p>
        </w:tc>
        <w:tc>
          <w:tcPr>
            <w:tcW w:w="140" w:type="dxa"/>
            <w:vAlign w:val="bottom"/>
            <w:tcBorders>
              <w:top w:val="single" w:sz="8" w:color="CCEEFF"/>
            </w:tcBorders>
            <w:shd w:val="clear" w:color="auto" w:fill="CCEEFF"/>
          </w:tcPr>
          <w:p>
            <w:pPr>
              <w:spacing w:after="0"/>
              <w:rPr>
                <w:sz w:val="9"/>
                <w:szCs w:val="9"/>
                <w:color w:val="auto"/>
              </w:rPr>
            </w:pPr>
          </w:p>
        </w:tc>
        <w:tc>
          <w:tcPr>
            <w:tcW w:w="3960" w:type="dxa"/>
            <w:vAlign w:val="bottom"/>
            <w:tcBorders>
              <w:top w:val="single" w:sz="8" w:color="auto"/>
            </w:tcBorders>
            <w:shd w:val="clear" w:color="auto" w:fill="CCEEFF"/>
          </w:tcPr>
          <w:p>
            <w:pPr>
              <w:ind w:left="20"/>
              <w:spacing w:after="0" w:line="112" w:lineRule="exact"/>
              <w:rPr>
                <w:sz w:val="20"/>
                <w:szCs w:val="20"/>
                <w:color w:val="auto"/>
              </w:rPr>
            </w:pPr>
            <w:r>
              <w:rPr>
                <w:rFonts w:ascii="Times New Roman" w:cs="Times New Roman" w:eastAsia="Times New Roman" w:hAnsi="Times New Roman"/>
                <w:sz w:val="11"/>
                <w:szCs w:val="11"/>
                <w:color w:val="auto"/>
              </w:rPr>
              <w:t>Certificate of Amendment of Amended and Restated Certificate of Incorporation of</w:t>
            </w:r>
          </w:p>
        </w:tc>
        <w:tc>
          <w:tcPr>
            <w:tcW w:w="1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rPr>
              <w:t>8-K</w:t>
            </w:r>
          </w:p>
        </w:tc>
        <w:tc>
          <w:tcPr>
            <w:tcW w:w="120" w:type="dxa"/>
            <w:vAlign w:val="bottom"/>
            <w:tcBorders>
              <w:top w:val="single" w:sz="8" w:color="CCEEFF"/>
            </w:tcBorders>
            <w:shd w:val="clear" w:color="auto" w:fill="CCEEFF"/>
          </w:tcPr>
          <w:p>
            <w:pPr>
              <w:spacing w:after="0"/>
              <w:rPr>
                <w:sz w:val="9"/>
                <w:szCs w:val="9"/>
                <w:color w:val="auto"/>
              </w:rPr>
            </w:pPr>
          </w:p>
        </w:tc>
        <w:tc>
          <w:tcPr>
            <w:tcW w:w="138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rPr>
              <w:t>000-50307</w:t>
            </w:r>
          </w:p>
        </w:tc>
        <w:tc>
          <w:tcPr>
            <w:tcW w:w="10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rPr>
              <w:t>6/3/2022</w:t>
            </w:r>
          </w:p>
        </w:tc>
        <w:tc>
          <w:tcPr>
            <w:tcW w:w="8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jc w:val="right"/>
              <w:ind w:right="3"/>
              <w:spacing w:after="0" w:line="112" w:lineRule="exact"/>
              <w:rPr>
                <w:sz w:val="20"/>
                <w:szCs w:val="20"/>
                <w:color w:val="auto"/>
              </w:rPr>
            </w:pPr>
            <w:r>
              <w:rPr>
                <w:rFonts w:ascii="Times New Roman" w:cs="Times New Roman" w:eastAsia="Times New Roman" w:hAnsi="Times New Roman"/>
                <w:sz w:val="11"/>
                <w:szCs w:val="11"/>
                <w:color w:val="auto"/>
              </w:rPr>
              <w:t>3.1</w:t>
            </w:r>
          </w:p>
        </w:tc>
        <w:tc>
          <w:tcPr>
            <w:tcW w:w="8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8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FormFactor, Inc.</w:t>
            </w:r>
          </w:p>
        </w:tc>
        <w:tc>
          <w:tcPr>
            <w:tcW w:w="8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140" w:type="dxa"/>
            <w:vAlign w:val="bottom"/>
            <w:gridSpan w:val="5"/>
          </w:tcPr>
          <w:p>
            <w:pPr>
              <w:jc w:val="right"/>
              <w:spacing w:after="0" w:line="117" w:lineRule="exact"/>
              <w:rPr>
                <w:rFonts w:ascii="Times New Roman" w:cs="Times New Roman" w:eastAsia="Times New Roman" w:hAnsi="Times New Roman"/>
                <w:sz w:val="11"/>
                <w:szCs w:val="11"/>
                <w:color w:val="0000FF"/>
              </w:rPr>
            </w:pPr>
            <w:hyperlink r:id="rId58">
              <w:r>
                <w:rPr>
                  <w:rFonts w:ascii="Times New Roman" w:cs="Times New Roman" w:eastAsia="Times New Roman" w:hAnsi="Times New Roman"/>
                  <w:sz w:val="11"/>
                  <w:szCs w:val="11"/>
                  <w:color w:val="0000FF"/>
                </w:rPr>
                <w:t>3.</w:t>
              </w:r>
              <w:r>
                <w:rPr>
                  <w:rFonts w:ascii="Times New Roman" w:cs="Times New Roman" w:eastAsia="Times New Roman" w:hAnsi="Times New Roman"/>
                  <w:sz w:val="11"/>
                  <w:szCs w:val="11"/>
                  <w:u w:val="single" w:color="auto"/>
                  <w:color w:val="0000FF"/>
                </w:rPr>
                <w:t>2</w:t>
              </w:r>
            </w:hyperlink>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Restated Certificate of Incorporation of FormFactor, Inc.</w:t>
            </w:r>
          </w:p>
        </w:tc>
        <w:tc>
          <w:tcPr>
            <w:tcW w:w="9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8-K</w:t>
            </w:r>
          </w:p>
        </w:tc>
        <w:tc>
          <w:tcPr>
            <w:tcW w:w="13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000-50307</w:t>
            </w:r>
          </w:p>
        </w:tc>
        <w:tc>
          <w:tcPr>
            <w:tcW w:w="10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6/3/2022</w:t>
            </w:r>
          </w:p>
        </w:tc>
        <w:tc>
          <w:tcPr>
            <w:tcW w:w="80" w:type="dxa"/>
            <w:vAlign w:val="bottom"/>
          </w:tcPr>
          <w:p>
            <w:pPr>
              <w:spacing w:after="0"/>
              <w:rPr>
                <w:sz w:val="10"/>
                <w:szCs w:val="10"/>
                <w:color w:val="auto"/>
              </w:rPr>
            </w:pPr>
          </w:p>
        </w:tc>
        <w:tc>
          <w:tcPr>
            <w:tcW w:w="960" w:type="dxa"/>
            <w:vAlign w:val="bottom"/>
          </w:tcPr>
          <w:p>
            <w:pPr>
              <w:jc w:val="right"/>
              <w:ind w:right="3"/>
              <w:spacing w:after="0" w:line="117" w:lineRule="exact"/>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140" w:type="dxa"/>
            <w:vAlign w:val="bottom"/>
            <w:gridSpan w:val="5"/>
            <w:shd w:val="clear" w:color="auto" w:fill="CCEEFF"/>
          </w:tcPr>
          <w:p>
            <w:pPr>
              <w:jc w:val="right"/>
              <w:spacing w:after="0" w:line="117" w:lineRule="exact"/>
              <w:rPr>
                <w:rFonts w:ascii="Times New Roman" w:cs="Times New Roman" w:eastAsia="Times New Roman" w:hAnsi="Times New Roman"/>
                <w:sz w:val="11"/>
                <w:szCs w:val="11"/>
                <w:color w:val="0000FF"/>
              </w:rPr>
            </w:pPr>
            <w:hyperlink r:id="rId59">
              <w:r>
                <w:rPr>
                  <w:rFonts w:ascii="Times New Roman" w:cs="Times New Roman" w:eastAsia="Times New Roman" w:hAnsi="Times New Roman"/>
                  <w:sz w:val="11"/>
                  <w:szCs w:val="11"/>
                  <w:color w:val="0000FF"/>
                </w:rPr>
                <w:t>3.</w:t>
              </w:r>
              <w:r>
                <w:rPr>
                  <w:rFonts w:ascii="Times New Roman" w:cs="Times New Roman" w:eastAsia="Times New Roman" w:hAnsi="Times New Roman"/>
                  <w:sz w:val="11"/>
                  <w:szCs w:val="11"/>
                  <w:u w:val="single" w:color="auto"/>
                  <w:color w:val="0000FF"/>
                </w:rPr>
                <w:t>3</w:t>
              </w:r>
            </w:hyperlink>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Amended and Restated By-laws of FormFactor, Inc.</w:t>
            </w:r>
          </w:p>
        </w:tc>
        <w:tc>
          <w:tcPr>
            <w:tcW w:w="98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8-K</w:t>
            </w:r>
          </w:p>
        </w:tc>
        <w:tc>
          <w:tcPr>
            <w:tcW w:w="13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000-50307</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6/3/2022</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
              <w:spacing w:after="0" w:line="117" w:lineRule="exact"/>
              <w:rPr>
                <w:sz w:val="20"/>
                <w:szCs w:val="20"/>
                <w:color w:val="auto"/>
              </w:rPr>
            </w:pPr>
            <w:r>
              <w:rPr>
                <w:rFonts w:ascii="Times New Roman" w:cs="Times New Roman" w:eastAsia="Times New Roman" w:hAnsi="Times New Roman"/>
                <w:sz w:val="11"/>
                <w:szCs w:val="11"/>
                <w:color w:val="auto"/>
              </w:rPr>
              <w:t>3.3</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140" w:type="dxa"/>
            <w:vAlign w:val="bottom"/>
            <w:gridSpan w:val="5"/>
          </w:tcPr>
          <w:p>
            <w:pPr>
              <w:jc w:val="right"/>
              <w:spacing w:after="0" w:line="117" w:lineRule="exact"/>
              <w:rPr>
                <w:rFonts w:ascii="Times New Roman" w:cs="Times New Roman" w:eastAsia="Times New Roman" w:hAnsi="Times New Roman"/>
                <w:sz w:val="11"/>
                <w:szCs w:val="11"/>
                <w:color w:val="0000FF"/>
              </w:rPr>
            </w:pPr>
            <w:hyperlink r:id="rId60">
              <w:r>
                <w:rPr>
                  <w:rFonts w:ascii="Times New Roman" w:cs="Times New Roman" w:eastAsia="Times New Roman" w:hAnsi="Times New Roman"/>
                  <w:sz w:val="11"/>
                  <w:szCs w:val="11"/>
                  <w:color w:val="0000FF"/>
                </w:rPr>
                <w:t>4.</w:t>
              </w:r>
              <w:r>
                <w:rPr>
                  <w:rFonts w:ascii="Times New Roman" w:cs="Times New Roman" w:eastAsia="Times New Roman" w:hAnsi="Times New Roman"/>
                  <w:sz w:val="11"/>
                  <w:szCs w:val="11"/>
                  <w:u w:val="single" w:color="auto"/>
                  <w:color w:val="0000FF"/>
                </w:rPr>
                <w:t>1</w:t>
              </w:r>
            </w:hyperlink>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Specimen Common Stock Certificate</w:t>
            </w:r>
          </w:p>
        </w:tc>
        <w:tc>
          <w:tcPr>
            <w:tcW w:w="9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S-1/A</w:t>
            </w:r>
          </w:p>
        </w:tc>
        <w:tc>
          <w:tcPr>
            <w:tcW w:w="13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333-86738</w:t>
            </w:r>
          </w:p>
        </w:tc>
        <w:tc>
          <w:tcPr>
            <w:tcW w:w="10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5/28/2002</w:t>
            </w:r>
          </w:p>
        </w:tc>
        <w:tc>
          <w:tcPr>
            <w:tcW w:w="80" w:type="dxa"/>
            <w:vAlign w:val="bottom"/>
          </w:tcPr>
          <w:p>
            <w:pPr>
              <w:spacing w:after="0"/>
              <w:rPr>
                <w:sz w:val="10"/>
                <w:szCs w:val="10"/>
                <w:color w:val="auto"/>
              </w:rPr>
            </w:pPr>
          </w:p>
        </w:tc>
        <w:tc>
          <w:tcPr>
            <w:tcW w:w="960" w:type="dxa"/>
            <w:vAlign w:val="bottom"/>
          </w:tcPr>
          <w:p>
            <w:pPr>
              <w:jc w:val="right"/>
              <w:ind w:right="3"/>
              <w:spacing w:after="0" w:line="117" w:lineRule="exact"/>
              <w:rPr>
                <w:sz w:val="20"/>
                <w:szCs w:val="20"/>
                <w:color w:val="auto"/>
              </w:rPr>
            </w:pPr>
            <w:r>
              <w:rPr>
                <w:rFonts w:ascii="Times New Roman" w:cs="Times New Roman" w:eastAsia="Times New Roman" w:hAnsi="Times New Roman"/>
                <w:sz w:val="11"/>
                <w:szCs w:val="11"/>
                <w:color w:val="auto"/>
              </w:rPr>
              <w:t>4.01</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140" w:type="dxa"/>
            <w:vAlign w:val="bottom"/>
            <w:gridSpan w:val="5"/>
            <w:shd w:val="clear" w:color="auto" w:fill="CCEEFF"/>
          </w:tcPr>
          <w:p>
            <w:pPr>
              <w:jc w:val="right"/>
              <w:spacing w:after="0" w:line="117" w:lineRule="exact"/>
              <w:rPr>
                <w:rFonts w:ascii="Times New Roman" w:cs="Times New Roman" w:eastAsia="Times New Roman" w:hAnsi="Times New Roman"/>
                <w:sz w:val="11"/>
                <w:szCs w:val="11"/>
                <w:color w:val="0000FF"/>
              </w:rPr>
            </w:pPr>
            <w:hyperlink r:id="rId61">
              <w:r>
                <w:rPr>
                  <w:rFonts w:ascii="Times New Roman" w:cs="Times New Roman" w:eastAsia="Times New Roman" w:hAnsi="Times New Roman"/>
                  <w:sz w:val="11"/>
                  <w:szCs w:val="11"/>
                  <w:color w:val="0000FF"/>
                </w:rPr>
                <w:t>4.</w:t>
              </w:r>
              <w:r>
                <w:rPr>
                  <w:rFonts w:ascii="Times New Roman" w:cs="Times New Roman" w:eastAsia="Times New Roman" w:hAnsi="Times New Roman"/>
                  <w:sz w:val="11"/>
                  <w:szCs w:val="11"/>
                  <w:u w:val="single" w:color="auto"/>
                  <w:color w:val="0000FF"/>
                </w:rPr>
                <w:t>2</w:t>
              </w:r>
            </w:hyperlink>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Description of Securities</w:t>
            </w:r>
          </w:p>
        </w:tc>
        <w:tc>
          <w:tcPr>
            <w:tcW w:w="98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10-K</w:t>
            </w:r>
          </w:p>
        </w:tc>
        <w:tc>
          <w:tcPr>
            <w:tcW w:w="13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000-50307</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2/22/2021</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
              <w:spacing w:after="0" w:line="117" w:lineRule="exact"/>
              <w:rPr>
                <w:sz w:val="20"/>
                <w:szCs w:val="20"/>
                <w:color w:val="auto"/>
              </w:rPr>
            </w:pPr>
            <w:r>
              <w:rPr>
                <w:rFonts w:ascii="Times New Roman" w:cs="Times New Roman" w:eastAsia="Times New Roman" w:hAnsi="Times New Roman"/>
                <w:sz w:val="11"/>
                <w:szCs w:val="11"/>
                <w:color w:val="auto"/>
              </w:rPr>
              <w:t>4.2</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140" w:type="dxa"/>
            <w:vAlign w:val="bottom"/>
            <w:gridSpan w:val="5"/>
          </w:tcPr>
          <w:p>
            <w:pPr>
              <w:jc w:val="right"/>
              <w:spacing w:after="0" w:line="117" w:lineRule="exact"/>
              <w:rPr>
                <w:rFonts w:ascii="Times New Roman" w:cs="Times New Roman" w:eastAsia="Times New Roman" w:hAnsi="Times New Roman"/>
                <w:sz w:val="11"/>
                <w:szCs w:val="11"/>
                <w:color w:val="0000FF"/>
              </w:rPr>
            </w:pPr>
            <w:hyperlink r:id="rId62">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3</w:t>
              </w:r>
            </w:hyperlink>
            <w:r>
              <w:rPr>
                <w:rFonts w:ascii="Times New Roman" w:cs="Times New Roman" w:eastAsia="Times New Roman" w:hAnsi="Times New Roman"/>
                <w:sz w:val="11"/>
                <w:szCs w:val="11"/>
                <w:color w:val="000000"/>
              </w:rPr>
              <w:t>+</w:t>
            </w:r>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Form of Indemnity Agreement</w:t>
            </w:r>
          </w:p>
        </w:tc>
        <w:tc>
          <w:tcPr>
            <w:tcW w:w="9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S-1/A</w:t>
            </w:r>
          </w:p>
        </w:tc>
        <w:tc>
          <w:tcPr>
            <w:tcW w:w="13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333-86738</w:t>
            </w:r>
          </w:p>
        </w:tc>
        <w:tc>
          <w:tcPr>
            <w:tcW w:w="10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5/28/2002</w:t>
            </w:r>
          </w:p>
        </w:tc>
        <w:tc>
          <w:tcPr>
            <w:tcW w:w="80" w:type="dxa"/>
            <w:vAlign w:val="bottom"/>
          </w:tcPr>
          <w:p>
            <w:pPr>
              <w:spacing w:after="0"/>
              <w:rPr>
                <w:sz w:val="10"/>
                <w:szCs w:val="10"/>
                <w:color w:val="auto"/>
              </w:rPr>
            </w:pPr>
          </w:p>
        </w:tc>
        <w:tc>
          <w:tcPr>
            <w:tcW w:w="960" w:type="dxa"/>
            <w:vAlign w:val="bottom"/>
          </w:tcPr>
          <w:p>
            <w:pPr>
              <w:jc w:val="right"/>
              <w:ind w:right="3"/>
              <w:spacing w:after="0" w:line="117" w:lineRule="exact"/>
              <w:rPr>
                <w:sz w:val="20"/>
                <w:szCs w:val="20"/>
                <w:color w:val="auto"/>
              </w:rPr>
            </w:pPr>
            <w:r>
              <w:rPr>
                <w:rFonts w:ascii="Times New Roman" w:cs="Times New Roman" w:eastAsia="Times New Roman" w:hAnsi="Times New Roman"/>
                <w:sz w:val="11"/>
                <w:szCs w:val="11"/>
                <w:color w:val="auto"/>
              </w:rPr>
              <w:t>10.01</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140" w:type="dxa"/>
            <w:vAlign w:val="bottom"/>
            <w:gridSpan w:val="5"/>
            <w:shd w:val="clear" w:color="auto" w:fill="CCEEFF"/>
          </w:tcPr>
          <w:p>
            <w:pPr>
              <w:jc w:val="right"/>
              <w:spacing w:after="0" w:line="117" w:lineRule="exact"/>
              <w:rPr>
                <w:rFonts w:ascii="Times New Roman" w:cs="Times New Roman" w:eastAsia="Times New Roman" w:hAnsi="Times New Roman"/>
                <w:sz w:val="11"/>
                <w:szCs w:val="11"/>
                <w:color w:val="0000FF"/>
              </w:rPr>
            </w:pPr>
            <w:hyperlink r:id="rId63">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4</w:t>
              </w:r>
            </w:hyperlink>
            <w:r>
              <w:rPr>
                <w:rFonts w:ascii="Times New Roman" w:cs="Times New Roman" w:eastAsia="Times New Roman" w:hAnsi="Times New Roman"/>
                <w:sz w:val="11"/>
                <w:szCs w:val="11"/>
                <w:color w:val="000000"/>
              </w:rPr>
              <w:t>+</w:t>
            </w:r>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Form of Change of Control Severance Agreement</w:t>
            </w:r>
          </w:p>
        </w:tc>
        <w:tc>
          <w:tcPr>
            <w:tcW w:w="98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8-K</w:t>
            </w:r>
          </w:p>
        </w:tc>
        <w:tc>
          <w:tcPr>
            <w:tcW w:w="13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000-50307</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7/26/2022</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
              <w:spacing w:after="0" w:line="117" w:lineRule="exact"/>
              <w:rPr>
                <w:sz w:val="20"/>
                <w:szCs w:val="20"/>
                <w:color w:val="auto"/>
              </w:rPr>
            </w:pPr>
            <w:r>
              <w:rPr>
                <w:rFonts w:ascii="Times New Roman" w:cs="Times New Roman" w:eastAsia="Times New Roman" w:hAnsi="Times New Roman"/>
                <w:sz w:val="11"/>
                <w:szCs w:val="11"/>
                <w:color w:val="auto"/>
              </w:rPr>
              <w:t>10.1</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140" w:type="dxa"/>
            <w:vAlign w:val="bottom"/>
            <w:gridSpan w:val="5"/>
          </w:tcPr>
          <w:p>
            <w:pPr>
              <w:jc w:val="right"/>
              <w:spacing w:after="0" w:line="117" w:lineRule="exact"/>
              <w:rPr>
                <w:sz w:val="20"/>
                <w:szCs w:val="20"/>
                <w:color w:val="auto"/>
              </w:rPr>
            </w:pPr>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9</w:t>
            </w:r>
            <w:r>
              <w:rPr>
                <w:rFonts w:ascii="Times New Roman" w:cs="Times New Roman" w:eastAsia="Times New Roman" w:hAnsi="Times New Roman"/>
                <w:sz w:val="11"/>
                <w:szCs w:val="11"/>
                <w:color w:val="000000"/>
              </w:rPr>
              <w:t>+</w:t>
            </w:r>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Employee Incentive Plan, as amended and restated effective January 25, 2022</w:t>
            </w:r>
          </w:p>
        </w:tc>
        <w:tc>
          <w:tcPr>
            <w:tcW w:w="980" w:type="dxa"/>
            <w:vAlign w:val="bottom"/>
            <w:gridSpan w:val="2"/>
          </w:tcPr>
          <w:p>
            <w:pPr>
              <w:ind w:left="7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480" w:type="dxa"/>
            <w:vAlign w:val="bottom"/>
            <w:gridSpan w:val="2"/>
          </w:tcPr>
          <w:p>
            <w:pPr>
              <w:ind w:left="1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tcPr>
          <w:p>
            <w:pPr>
              <w:ind w:left="9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22"/>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140" w:type="dxa"/>
            <w:vAlign w:val="bottom"/>
            <w:gridSpan w:val="5"/>
            <w:shd w:val="clear" w:color="auto" w:fill="CCEEFF"/>
          </w:tcPr>
          <w:p>
            <w:pPr>
              <w:jc w:val="right"/>
              <w:spacing w:after="0" w:line="117" w:lineRule="exact"/>
              <w:rPr>
                <w:rFonts w:ascii="Times New Roman" w:cs="Times New Roman" w:eastAsia="Times New Roman" w:hAnsi="Times New Roman"/>
                <w:sz w:val="11"/>
                <w:szCs w:val="11"/>
                <w:color w:val="0000FF"/>
              </w:rPr>
            </w:pPr>
            <w:hyperlink r:id="rId64">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10</w:t>
              </w:r>
              <w:r>
                <w:rPr>
                  <w:rFonts w:ascii="Times New Roman" w:cs="Times New Roman" w:eastAsia="Times New Roman" w:hAnsi="Times New Roman"/>
                  <w:sz w:val="11"/>
                  <w:szCs w:val="11"/>
                  <w:color w:val="000000"/>
                </w:rPr>
                <w:t>+</w:t>
              </w:r>
            </w:hyperlink>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Equity Incentive Plan, as amended and restated effective May 27, 2022</w:t>
            </w:r>
          </w:p>
        </w:tc>
        <w:tc>
          <w:tcPr>
            <w:tcW w:w="98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DEF 14A</w:t>
            </w:r>
          </w:p>
        </w:tc>
        <w:tc>
          <w:tcPr>
            <w:tcW w:w="13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000-50307</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4/13/2022</w:t>
            </w: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Appendix B</w:t>
            </w: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820" w:type="dxa"/>
            <w:vAlign w:val="bottom"/>
          </w:tcPr>
          <w:p>
            <w:pPr>
              <w:spacing w:after="0"/>
              <w:rPr>
                <w:sz w:val="10"/>
                <w:szCs w:val="10"/>
                <w:color w:val="auto"/>
              </w:rPr>
            </w:pPr>
          </w:p>
        </w:tc>
        <w:tc>
          <w:tcPr>
            <w:tcW w:w="320" w:type="dxa"/>
            <w:vAlign w:val="bottom"/>
            <w:gridSpan w:val="4"/>
          </w:tcPr>
          <w:p>
            <w:pPr>
              <w:jc w:val="right"/>
              <w:spacing w:after="0" w:line="117" w:lineRule="exact"/>
              <w:rPr>
                <w:rFonts w:ascii="Times New Roman" w:cs="Times New Roman" w:eastAsia="Times New Roman" w:hAnsi="Times New Roman"/>
                <w:sz w:val="11"/>
                <w:szCs w:val="11"/>
                <w:color w:val="0000FF"/>
                <w:w w:val="96"/>
              </w:rPr>
            </w:pPr>
            <w:hyperlink r:id="rId65">
              <w:r>
                <w:rPr>
                  <w:rFonts w:ascii="Times New Roman" w:cs="Times New Roman" w:eastAsia="Times New Roman" w:hAnsi="Times New Roman"/>
                  <w:sz w:val="11"/>
                  <w:szCs w:val="11"/>
                  <w:color w:val="0000FF"/>
                  <w:w w:val="96"/>
                </w:rPr>
                <w:t>10.</w:t>
              </w:r>
              <w:r>
                <w:rPr>
                  <w:rFonts w:ascii="Times New Roman" w:cs="Times New Roman" w:eastAsia="Times New Roman" w:hAnsi="Times New Roman"/>
                  <w:sz w:val="11"/>
                  <w:szCs w:val="11"/>
                  <w:u w:val="single" w:color="auto"/>
                  <w:color w:val="0000FF"/>
                  <w:w w:val="96"/>
                </w:rPr>
                <w:t>11</w:t>
              </w:r>
            </w:hyperlink>
            <w:r>
              <w:rPr>
                <w:rFonts w:ascii="Times New Roman" w:cs="Times New Roman" w:eastAsia="Times New Roman" w:hAnsi="Times New Roman"/>
                <w:sz w:val="11"/>
                <w:szCs w:val="11"/>
                <w:color w:val="000000"/>
                <w:w w:val="96"/>
              </w:rPr>
              <w:t>+</w:t>
            </w:r>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Employee Stock Purchase Plan, as amended and restated May 19, 2023</w:t>
            </w:r>
          </w:p>
        </w:tc>
        <w:tc>
          <w:tcPr>
            <w:tcW w:w="9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DEF 14A</w:t>
            </w:r>
          </w:p>
        </w:tc>
        <w:tc>
          <w:tcPr>
            <w:tcW w:w="13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000-50307</w:t>
            </w:r>
          </w:p>
        </w:tc>
        <w:tc>
          <w:tcPr>
            <w:tcW w:w="10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4/4/2023</w:t>
            </w:r>
          </w:p>
        </w:tc>
        <w:tc>
          <w:tcPr>
            <w:tcW w:w="80" w:type="dxa"/>
            <w:vAlign w:val="bottom"/>
          </w:tcPr>
          <w:p>
            <w:pPr>
              <w:spacing w:after="0"/>
              <w:rPr>
                <w:sz w:val="10"/>
                <w:szCs w:val="10"/>
                <w:color w:val="auto"/>
              </w:rPr>
            </w:pPr>
          </w:p>
        </w:tc>
        <w:tc>
          <w:tcPr>
            <w:tcW w:w="10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Appendix A</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8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140" w:type="dxa"/>
            <w:vAlign w:val="bottom"/>
            <w:gridSpan w:val="5"/>
            <w:shd w:val="clear" w:color="auto" w:fill="CCEEFF"/>
          </w:tcPr>
          <w:p>
            <w:pPr>
              <w:jc w:val="right"/>
              <w:spacing w:after="0" w:line="117" w:lineRule="exact"/>
              <w:rPr>
                <w:rFonts w:ascii="Times New Roman" w:cs="Times New Roman" w:eastAsia="Times New Roman" w:hAnsi="Times New Roman"/>
                <w:sz w:val="11"/>
                <w:szCs w:val="11"/>
                <w:color w:val="0000FF"/>
              </w:rPr>
            </w:pPr>
            <w:hyperlink r:id="rId66">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12</w:t>
              </w:r>
            </w:hyperlink>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Pacific Corporate Center Lease (Building 1) by and between Greenville Holding</w:t>
            </w:r>
          </w:p>
        </w:tc>
        <w:tc>
          <w:tcPr>
            <w:tcW w:w="98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S-1/A</w:t>
            </w:r>
          </w:p>
        </w:tc>
        <w:tc>
          <w:tcPr>
            <w:tcW w:w="13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333-86738</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6/10/2003</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
              <w:spacing w:after="0" w:line="117" w:lineRule="exact"/>
              <w:rPr>
                <w:sz w:val="20"/>
                <w:szCs w:val="20"/>
                <w:color w:val="auto"/>
              </w:rPr>
            </w:pPr>
            <w:r>
              <w:rPr>
                <w:rFonts w:ascii="Times New Roman" w:cs="Times New Roman" w:eastAsia="Times New Roman" w:hAnsi="Times New Roman"/>
                <w:sz w:val="11"/>
                <w:szCs w:val="11"/>
                <w:color w:val="auto"/>
              </w:rPr>
              <w:t>10.18</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8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4120" w:type="dxa"/>
            <w:vAlign w:val="bottom"/>
            <w:tcBorders>
              <w:top w:val="single" w:sz="8" w:color="CCEEFF"/>
            </w:tcBorders>
            <w:gridSpan w:val="2"/>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Company LLC (successor to Greenville Investors, L.P.) (“Greenville”) and the</w:t>
            </w:r>
          </w:p>
        </w:tc>
        <w:tc>
          <w:tcPr>
            <w:tcW w:w="8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3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Registrant dated May 3, 2001</w:t>
            </w: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140" w:type="dxa"/>
            <w:vAlign w:val="bottom"/>
            <w:gridSpan w:val="5"/>
          </w:tcPr>
          <w:p>
            <w:pPr>
              <w:jc w:val="right"/>
              <w:spacing w:after="0" w:line="117" w:lineRule="exact"/>
              <w:rPr>
                <w:rFonts w:ascii="Times New Roman" w:cs="Times New Roman" w:eastAsia="Times New Roman" w:hAnsi="Times New Roman"/>
                <w:sz w:val="11"/>
                <w:szCs w:val="11"/>
                <w:color w:val="0000FF"/>
              </w:rPr>
            </w:pPr>
            <w:hyperlink r:id="rId67">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13</w:t>
              </w:r>
            </w:hyperlink>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First Amendment to Pacific Corporate Center Lease (Building 1) by and between</w:t>
            </w:r>
          </w:p>
        </w:tc>
        <w:tc>
          <w:tcPr>
            <w:tcW w:w="9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S-1/A</w:t>
            </w:r>
          </w:p>
        </w:tc>
        <w:tc>
          <w:tcPr>
            <w:tcW w:w="13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333-86738</w:t>
            </w:r>
          </w:p>
        </w:tc>
        <w:tc>
          <w:tcPr>
            <w:tcW w:w="10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5/7/2003</w:t>
            </w:r>
          </w:p>
        </w:tc>
        <w:tc>
          <w:tcPr>
            <w:tcW w:w="80" w:type="dxa"/>
            <w:vAlign w:val="bottom"/>
          </w:tcPr>
          <w:p>
            <w:pPr>
              <w:spacing w:after="0"/>
              <w:rPr>
                <w:sz w:val="10"/>
                <w:szCs w:val="10"/>
                <w:color w:val="auto"/>
              </w:rPr>
            </w:pPr>
          </w:p>
        </w:tc>
        <w:tc>
          <w:tcPr>
            <w:tcW w:w="9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10.18.1</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Greenville and the Registrant dated January 31, 2003</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140" w:type="dxa"/>
            <w:vAlign w:val="bottom"/>
            <w:gridSpan w:val="5"/>
            <w:shd w:val="clear" w:color="auto" w:fill="CCEEFF"/>
          </w:tcPr>
          <w:p>
            <w:pPr>
              <w:jc w:val="right"/>
              <w:spacing w:after="0" w:line="118" w:lineRule="exact"/>
              <w:rPr>
                <w:rFonts w:ascii="Times New Roman" w:cs="Times New Roman" w:eastAsia="Times New Roman" w:hAnsi="Times New Roman"/>
                <w:sz w:val="11"/>
                <w:szCs w:val="11"/>
                <w:color w:val="0000FF"/>
              </w:rPr>
            </w:pPr>
            <w:hyperlink r:id="rId68">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14</w:t>
              </w:r>
            </w:hyperlink>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1"/>
                <w:szCs w:val="11"/>
                <w:color w:val="auto"/>
              </w:rPr>
              <w:t>Pacific Corporate Center Lease (Building 2) by and between Greenville and the</w:t>
            </w:r>
          </w:p>
        </w:tc>
        <w:tc>
          <w:tcPr>
            <w:tcW w:w="980" w:type="dxa"/>
            <w:vAlign w:val="bottom"/>
            <w:gridSpan w:val="2"/>
            <w:shd w:val="clear" w:color="auto" w:fill="CCEEFF"/>
          </w:tcPr>
          <w:p>
            <w:pPr>
              <w:jc w:val="right"/>
              <w:ind w:right="140"/>
              <w:spacing w:after="0" w:line="118" w:lineRule="exact"/>
              <w:rPr>
                <w:sz w:val="20"/>
                <w:szCs w:val="20"/>
                <w:color w:val="auto"/>
              </w:rPr>
            </w:pPr>
            <w:r>
              <w:rPr>
                <w:rFonts w:ascii="Times New Roman" w:cs="Times New Roman" w:eastAsia="Times New Roman" w:hAnsi="Times New Roman"/>
                <w:sz w:val="11"/>
                <w:szCs w:val="11"/>
                <w:color w:val="auto"/>
              </w:rPr>
              <w:t>S-1/A</w:t>
            </w:r>
          </w:p>
        </w:tc>
        <w:tc>
          <w:tcPr>
            <w:tcW w:w="13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333-86738</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6/10/2003</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1"/>
                <w:szCs w:val="11"/>
                <w:color w:val="auto"/>
              </w:rPr>
              <w:t>10.19</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Registrant dated May 3, 2001</w:t>
            </w:r>
          </w:p>
        </w:tc>
        <w:tc>
          <w:tcPr>
            <w:tcW w:w="8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140" w:type="dxa"/>
            <w:vAlign w:val="bottom"/>
            <w:gridSpan w:val="5"/>
          </w:tcPr>
          <w:p>
            <w:pPr>
              <w:jc w:val="right"/>
              <w:spacing w:after="0" w:line="117" w:lineRule="exact"/>
              <w:rPr>
                <w:rFonts w:ascii="Times New Roman" w:cs="Times New Roman" w:eastAsia="Times New Roman" w:hAnsi="Times New Roman"/>
                <w:sz w:val="11"/>
                <w:szCs w:val="11"/>
                <w:color w:val="0000FF"/>
              </w:rPr>
            </w:pPr>
            <w:hyperlink r:id="rId69">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15</w:t>
              </w:r>
            </w:hyperlink>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First Amendment to Pacific Corporate Center Lease (Building 2) by and between</w:t>
            </w:r>
          </w:p>
        </w:tc>
        <w:tc>
          <w:tcPr>
            <w:tcW w:w="9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S-1/A</w:t>
            </w:r>
          </w:p>
        </w:tc>
        <w:tc>
          <w:tcPr>
            <w:tcW w:w="13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333-86738</w:t>
            </w:r>
          </w:p>
        </w:tc>
        <w:tc>
          <w:tcPr>
            <w:tcW w:w="10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5/7/2003</w:t>
            </w:r>
          </w:p>
        </w:tc>
        <w:tc>
          <w:tcPr>
            <w:tcW w:w="80" w:type="dxa"/>
            <w:vAlign w:val="bottom"/>
          </w:tcPr>
          <w:p>
            <w:pPr>
              <w:spacing w:after="0"/>
              <w:rPr>
                <w:sz w:val="10"/>
                <w:szCs w:val="10"/>
                <w:color w:val="auto"/>
              </w:rPr>
            </w:pPr>
          </w:p>
        </w:tc>
        <w:tc>
          <w:tcPr>
            <w:tcW w:w="9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10.19.1</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Greenville and the Registrant dated January 31, 2003</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140" w:type="dxa"/>
            <w:vAlign w:val="bottom"/>
            <w:gridSpan w:val="5"/>
            <w:shd w:val="clear" w:color="auto" w:fill="CCEEFF"/>
          </w:tcPr>
          <w:p>
            <w:pPr>
              <w:jc w:val="right"/>
              <w:spacing w:after="0" w:line="118" w:lineRule="exact"/>
              <w:rPr>
                <w:rFonts w:ascii="Times New Roman" w:cs="Times New Roman" w:eastAsia="Times New Roman" w:hAnsi="Times New Roman"/>
                <w:sz w:val="11"/>
                <w:szCs w:val="11"/>
                <w:color w:val="0000FF"/>
              </w:rPr>
            </w:pPr>
            <w:hyperlink r:id="rId70">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16</w:t>
              </w:r>
            </w:hyperlink>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1"/>
                <w:szCs w:val="11"/>
                <w:color w:val="auto"/>
              </w:rPr>
              <w:t>Pacific Corporate Center Lease (Building 3) by and between Greenville and the</w:t>
            </w:r>
          </w:p>
        </w:tc>
        <w:tc>
          <w:tcPr>
            <w:tcW w:w="980" w:type="dxa"/>
            <w:vAlign w:val="bottom"/>
            <w:gridSpan w:val="2"/>
            <w:shd w:val="clear" w:color="auto" w:fill="CCEEFF"/>
          </w:tcPr>
          <w:p>
            <w:pPr>
              <w:jc w:val="right"/>
              <w:ind w:right="140"/>
              <w:spacing w:after="0" w:line="118" w:lineRule="exact"/>
              <w:rPr>
                <w:sz w:val="20"/>
                <w:szCs w:val="20"/>
                <w:color w:val="auto"/>
              </w:rPr>
            </w:pPr>
            <w:r>
              <w:rPr>
                <w:rFonts w:ascii="Times New Roman" w:cs="Times New Roman" w:eastAsia="Times New Roman" w:hAnsi="Times New Roman"/>
                <w:sz w:val="11"/>
                <w:szCs w:val="11"/>
                <w:color w:val="auto"/>
              </w:rPr>
              <w:t>S-1/A</w:t>
            </w:r>
          </w:p>
        </w:tc>
        <w:tc>
          <w:tcPr>
            <w:tcW w:w="13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333-86738</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6/10/2003</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1"/>
                <w:szCs w:val="11"/>
                <w:color w:val="auto"/>
              </w:rPr>
              <w:t>10.20</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Registrant dated May 3, 2001</w:t>
            </w:r>
          </w:p>
        </w:tc>
        <w:tc>
          <w:tcPr>
            <w:tcW w:w="8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140" w:type="dxa"/>
            <w:vAlign w:val="bottom"/>
            <w:gridSpan w:val="5"/>
          </w:tcPr>
          <w:p>
            <w:pPr>
              <w:jc w:val="right"/>
              <w:spacing w:after="0" w:line="117" w:lineRule="exact"/>
              <w:rPr>
                <w:rFonts w:ascii="Times New Roman" w:cs="Times New Roman" w:eastAsia="Times New Roman" w:hAnsi="Times New Roman"/>
                <w:sz w:val="11"/>
                <w:szCs w:val="11"/>
                <w:color w:val="0000FF"/>
              </w:rPr>
            </w:pPr>
            <w:hyperlink r:id="rId71">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17</w:t>
              </w:r>
            </w:hyperlink>
            <w:r>
              <w:rPr>
                <w:rFonts w:ascii="Times New Roman" w:cs="Times New Roman" w:eastAsia="Times New Roman" w:hAnsi="Times New Roman"/>
                <w:sz w:val="11"/>
                <w:szCs w:val="11"/>
                <w:color w:val="000000"/>
              </w:rPr>
              <w:t>+</w:t>
            </w:r>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First Amendment to Pacific Corporate Center Lease (Building 3) by and between</w:t>
            </w:r>
          </w:p>
        </w:tc>
        <w:tc>
          <w:tcPr>
            <w:tcW w:w="9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S-1/A</w:t>
            </w:r>
          </w:p>
        </w:tc>
        <w:tc>
          <w:tcPr>
            <w:tcW w:w="13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333-86738</w:t>
            </w:r>
          </w:p>
        </w:tc>
        <w:tc>
          <w:tcPr>
            <w:tcW w:w="10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5/7/2003</w:t>
            </w:r>
          </w:p>
        </w:tc>
        <w:tc>
          <w:tcPr>
            <w:tcW w:w="80" w:type="dxa"/>
            <w:vAlign w:val="bottom"/>
          </w:tcPr>
          <w:p>
            <w:pPr>
              <w:spacing w:after="0"/>
              <w:rPr>
                <w:sz w:val="10"/>
                <w:szCs w:val="10"/>
                <w:color w:val="auto"/>
              </w:rPr>
            </w:pPr>
          </w:p>
        </w:tc>
        <w:tc>
          <w:tcPr>
            <w:tcW w:w="9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10.20.1</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Greenville and the Registrant dated January 31, 2003</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140" w:type="dxa"/>
            <w:vAlign w:val="bottom"/>
            <w:gridSpan w:val="5"/>
            <w:shd w:val="clear" w:color="auto" w:fill="CCEEFF"/>
          </w:tcPr>
          <w:p>
            <w:pPr>
              <w:jc w:val="right"/>
              <w:spacing w:after="0" w:line="118" w:lineRule="exact"/>
              <w:rPr>
                <w:rFonts w:ascii="Times New Roman" w:cs="Times New Roman" w:eastAsia="Times New Roman" w:hAnsi="Times New Roman"/>
                <w:sz w:val="11"/>
                <w:szCs w:val="11"/>
                <w:color w:val="0000FF"/>
              </w:rPr>
            </w:pPr>
            <w:hyperlink r:id="rId72">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18</w:t>
              </w:r>
            </w:hyperlink>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1"/>
                <w:szCs w:val="11"/>
                <w:color w:val="auto"/>
              </w:rPr>
              <w:t>Third Amendment, dated December 19, 2016, between FormFactor, Inc. and MOHR</w:t>
            </w:r>
          </w:p>
        </w:tc>
        <w:tc>
          <w:tcPr>
            <w:tcW w:w="980" w:type="dxa"/>
            <w:vAlign w:val="bottom"/>
            <w:gridSpan w:val="2"/>
            <w:shd w:val="clear" w:color="auto" w:fill="CCEEFF"/>
          </w:tcPr>
          <w:p>
            <w:pPr>
              <w:jc w:val="right"/>
              <w:ind w:right="140"/>
              <w:spacing w:after="0" w:line="118" w:lineRule="exact"/>
              <w:rPr>
                <w:sz w:val="20"/>
                <w:szCs w:val="20"/>
                <w:color w:val="auto"/>
              </w:rPr>
            </w:pPr>
            <w:r>
              <w:rPr>
                <w:rFonts w:ascii="Times New Roman" w:cs="Times New Roman" w:eastAsia="Times New Roman" w:hAnsi="Times New Roman"/>
                <w:sz w:val="11"/>
                <w:szCs w:val="11"/>
                <w:color w:val="auto"/>
              </w:rPr>
              <w:t>8-K</w:t>
            </w:r>
          </w:p>
        </w:tc>
        <w:tc>
          <w:tcPr>
            <w:tcW w:w="13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000-50307</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12/23/2016</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1"/>
                <w:szCs w:val="11"/>
                <w:color w:val="auto"/>
              </w:rPr>
              <w:t>10.2</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8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4120" w:type="dxa"/>
            <w:vAlign w:val="bottom"/>
            <w:tcBorders>
              <w:top w:val="single" w:sz="8" w:color="CCEEFF"/>
            </w:tcBorders>
            <w:gridSpan w:val="2"/>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PCC, LP, to Pacific Corporate Center Leases (Buildings 1, 2 and 3), dated May 3,</w:t>
            </w:r>
          </w:p>
        </w:tc>
        <w:tc>
          <w:tcPr>
            <w:tcW w:w="8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3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2001, by and between Greenville Investors, L.P. and FormFactor, Inc., as amended</w:t>
            </w: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140" w:type="dxa"/>
            <w:vAlign w:val="bottom"/>
            <w:gridSpan w:val="5"/>
          </w:tcPr>
          <w:p>
            <w:pPr>
              <w:jc w:val="right"/>
              <w:spacing w:after="0" w:line="117" w:lineRule="exact"/>
              <w:rPr>
                <w:rFonts w:ascii="Times New Roman" w:cs="Times New Roman" w:eastAsia="Times New Roman" w:hAnsi="Times New Roman"/>
                <w:sz w:val="11"/>
                <w:szCs w:val="11"/>
                <w:color w:val="0000FF"/>
              </w:rPr>
            </w:pPr>
            <w:hyperlink r:id="rId73">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19</w:t>
              </w:r>
            </w:hyperlink>
            <w:r>
              <w:rPr>
                <w:rFonts w:ascii="Times New Roman" w:cs="Times New Roman" w:eastAsia="Times New Roman" w:hAnsi="Times New Roman"/>
                <w:sz w:val="11"/>
                <w:szCs w:val="11"/>
                <w:color w:val="000000"/>
              </w:rPr>
              <w:t>+</w:t>
            </w:r>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Pacific Corporate Center Lease by and between Greenville and the Registrant dated</w:t>
            </w:r>
          </w:p>
        </w:tc>
        <w:tc>
          <w:tcPr>
            <w:tcW w:w="9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10-Q</w:t>
            </w:r>
          </w:p>
        </w:tc>
        <w:tc>
          <w:tcPr>
            <w:tcW w:w="13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000-50307</w:t>
            </w:r>
          </w:p>
        </w:tc>
        <w:tc>
          <w:tcPr>
            <w:tcW w:w="10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11/7/2006</w:t>
            </w:r>
          </w:p>
        </w:tc>
        <w:tc>
          <w:tcPr>
            <w:tcW w:w="80" w:type="dxa"/>
            <w:vAlign w:val="bottom"/>
          </w:tcPr>
          <w:p>
            <w:pPr>
              <w:spacing w:after="0"/>
              <w:rPr>
                <w:sz w:val="10"/>
                <w:szCs w:val="10"/>
                <w:color w:val="auto"/>
              </w:rPr>
            </w:pPr>
          </w:p>
        </w:tc>
        <w:tc>
          <w:tcPr>
            <w:tcW w:w="960" w:type="dxa"/>
            <w:vAlign w:val="bottom"/>
          </w:tcPr>
          <w:p>
            <w:pPr>
              <w:jc w:val="right"/>
              <w:ind w:right="3"/>
              <w:spacing w:after="0" w:line="117" w:lineRule="exact"/>
              <w:rPr>
                <w:sz w:val="20"/>
                <w:szCs w:val="20"/>
                <w:color w:val="auto"/>
              </w:rPr>
            </w:pPr>
            <w:r>
              <w:rPr>
                <w:rFonts w:ascii="Times New Roman" w:cs="Times New Roman" w:eastAsia="Times New Roman" w:hAnsi="Times New Roman"/>
                <w:sz w:val="11"/>
                <w:szCs w:val="11"/>
                <w:color w:val="auto"/>
              </w:rPr>
              <w:t>10.01</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820" w:type="dxa"/>
            <w:vAlign w:val="bottom"/>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120" w:type="dxa"/>
            <w:vAlign w:val="bottom"/>
            <w:gridSpan w:val="2"/>
          </w:tcPr>
          <w:p>
            <w:pPr>
              <w:ind w:left="20"/>
              <w:spacing w:after="0" w:line="86" w:lineRule="exact"/>
              <w:rPr>
                <w:sz w:val="20"/>
                <w:szCs w:val="20"/>
                <w:color w:val="auto"/>
              </w:rPr>
            </w:pPr>
            <w:r>
              <w:rPr>
                <w:rFonts w:ascii="Times New Roman" w:cs="Times New Roman" w:eastAsia="Times New Roman" w:hAnsi="Times New Roman"/>
                <w:sz w:val="9"/>
                <w:szCs w:val="9"/>
                <w:color w:val="auto"/>
              </w:rPr>
              <w:t>September 7, 2004, as amended by First Amendment to Building 6 Lease dated</w:t>
            </w: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August 16, 2006</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140" w:type="dxa"/>
            <w:vAlign w:val="bottom"/>
            <w:gridSpan w:val="5"/>
            <w:shd w:val="clear" w:color="auto" w:fill="CCEEFF"/>
          </w:tcPr>
          <w:p>
            <w:pPr>
              <w:jc w:val="right"/>
              <w:spacing w:after="0" w:line="123" w:lineRule="exact"/>
              <w:rPr>
                <w:rFonts w:ascii="Times New Roman" w:cs="Times New Roman" w:eastAsia="Times New Roman" w:hAnsi="Times New Roman"/>
                <w:sz w:val="11"/>
                <w:szCs w:val="11"/>
                <w:color w:val="0000FF"/>
              </w:rPr>
            </w:pPr>
            <w:hyperlink r:id="rId74">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20</w:t>
              </w:r>
            </w:hyperlink>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23" w:lineRule="exact"/>
              <w:rPr>
                <w:sz w:val="20"/>
                <w:szCs w:val="20"/>
                <w:color w:val="auto"/>
              </w:rPr>
            </w:pPr>
            <w:r>
              <w:rPr>
                <w:rFonts w:ascii="Times New Roman" w:cs="Times New Roman" w:eastAsia="Times New Roman" w:hAnsi="Times New Roman"/>
                <w:sz w:val="11"/>
                <w:szCs w:val="11"/>
                <w:color w:val="auto"/>
              </w:rPr>
              <w:t>Second Amendment, dated December 19, 2016, between FormFactor, Inc. and MOHR</w:t>
            </w:r>
          </w:p>
        </w:tc>
        <w:tc>
          <w:tcPr>
            <w:tcW w:w="980" w:type="dxa"/>
            <w:vAlign w:val="bottom"/>
            <w:gridSpan w:val="2"/>
            <w:shd w:val="clear" w:color="auto" w:fill="CCEEFF"/>
          </w:tcPr>
          <w:p>
            <w:pPr>
              <w:jc w:val="right"/>
              <w:ind w:right="140"/>
              <w:spacing w:after="0" w:line="123" w:lineRule="exact"/>
              <w:rPr>
                <w:sz w:val="20"/>
                <w:szCs w:val="20"/>
                <w:color w:val="auto"/>
              </w:rPr>
            </w:pPr>
            <w:r>
              <w:rPr>
                <w:rFonts w:ascii="Times New Roman" w:cs="Times New Roman" w:eastAsia="Times New Roman" w:hAnsi="Times New Roman"/>
                <w:sz w:val="11"/>
                <w:szCs w:val="11"/>
                <w:color w:val="auto"/>
              </w:rPr>
              <w:t>8-K</w:t>
            </w:r>
          </w:p>
        </w:tc>
        <w:tc>
          <w:tcPr>
            <w:tcW w:w="13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000-50307</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12/23/2016</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10.1</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8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4120" w:type="dxa"/>
            <w:vAlign w:val="bottom"/>
            <w:tcBorders>
              <w:top w:val="single" w:sz="8" w:color="CCEEFF"/>
            </w:tcBorders>
            <w:gridSpan w:val="2"/>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PCC, LP, to Pacific Corporate Center Lease, dated October 5, 2004, by and between</w:t>
            </w:r>
          </w:p>
        </w:tc>
        <w:tc>
          <w:tcPr>
            <w:tcW w:w="8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3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Greenville Investors, L.P. and FormFactor, Inc., as amended</w:t>
            </w: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140" w:type="dxa"/>
            <w:vAlign w:val="bottom"/>
            <w:gridSpan w:val="5"/>
          </w:tcPr>
          <w:p>
            <w:pPr>
              <w:jc w:val="right"/>
              <w:spacing w:after="0" w:line="117" w:lineRule="exact"/>
              <w:rPr>
                <w:rFonts w:ascii="Times New Roman" w:cs="Times New Roman" w:eastAsia="Times New Roman" w:hAnsi="Times New Roman"/>
                <w:sz w:val="11"/>
                <w:szCs w:val="11"/>
                <w:color w:val="0000FF"/>
              </w:rPr>
            </w:pPr>
            <w:hyperlink r:id="rId75">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21</w:t>
              </w:r>
            </w:hyperlink>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Third Amendment, dated October 1, 2018, between FormFactor, Inc. and MOHR</w:t>
            </w:r>
          </w:p>
        </w:tc>
        <w:tc>
          <w:tcPr>
            <w:tcW w:w="9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8-K</w:t>
            </w:r>
          </w:p>
        </w:tc>
        <w:tc>
          <w:tcPr>
            <w:tcW w:w="13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000-50307</w:t>
            </w:r>
          </w:p>
        </w:tc>
        <w:tc>
          <w:tcPr>
            <w:tcW w:w="10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10/2/2018</w:t>
            </w:r>
          </w:p>
        </w:tc>
        <w:tc>
          <w:tcPr>
            <w:tcW w:w="80" w:type="dxa"/>
            <w:vAlign w:val="bottom"/>
          </w:tcPr>
          <w:p>
            <w:pPr>
              <w:spacing w:after="0"/>
              <w:rPr>
                <w:sz w:val="10"/>
                <w:szCs w:val="10"/>
                <w:color w:val="auto"/>
              </w:rPr>
            </w:pPr>
          </w:p>
        </w:tc>
        <w:tc>
          <w:tcPr>
            <w:tcW w:w="960" w:type="dxa"/>
            <w:vAlign w:val="bottom"/>
          </w:tcPr>
          <w:p>
            <w:pPr>
              <w:jc w:val="right"/>
              <w:ind w:right="3"/>
              <w:spacing w:after="0" w:line="117" w:lineRule="exact"/>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140" w:type="dxa"/>
            <w:vAlign w:val="bottom"/>
          </w:tcPr>
          <w:p>
            <w:pPr>
              <w:spacing w:after="0"/>
              <w:rPr>
                <w:sz w:val="7"/>
                <w:szCs w:val="7"/>
                <w:color w:val="auto"/>
              </w:rPr>
            </w:pPr>
          </w:p>
        </w:tc>
        <w:tc>
          <w:tcPr>
            <w:tcW w:w="4120" w:type="dxa"/>
            <w:vAlign w:val="bottom"/>
            <w:gridSpan w:val="2"/>
          </w:tcPr>
          <w:p>
            <w:pPr>
              <w:ind w:left="20"/>
              <w:spacing w:after="0" w:line="86" w:lineRule="exact"/>
              <w:rPr>
                <w:sz w:val="20"/>
                <w:szCs w:val="20"/>
                <w:color w:val="auto"/>
              </w:rPr>
            </w:pPr>
            <w:r>
              <w:rPr>
                <w:rFonts w:ascii="Times New Roman" w:cs="Times New Roman" w:eastAsia="Times New Roman" w:hAnsi="Times New Roman"/>
                <w:sz w:val="9"/>
                <w:szCs w:val="9"/>
                <w:color w:val="auto"/>
              </w:rPr>
              <w:t>PCC, LP, to Pacific Corporate Center Lease, dated October 5, 2004, by and between</w:t>
            </w: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Greenville Investors, L.P. and FormFactor, Inc., as amended</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140" w:type="dxa"/>
            <w:vAlign w:val="bottom"/>
            <w:gridSpan w:val="5"/>
            <w:shd w:val="clear" w:color="auto" w:fill="CCEEFF"/>
          </w:tcPr>
          <w:p>
            <w:pPr>
              <w:jc w:val="right"/>
              <w:spacing w:after="0" w:line="123" w:lineRule="exact"/>
              <w:rPr>
                <w:rFonts w:ascii="Times New Roman" w:cs="Times New Roman" w:eastAsia="Times New Roman" w:hAnsi="Times New Roman"/>
                <w:sz w:val="11"/>
                <w:szCs w:val="11"/>
                <w:color w:val="0000FF"/>
              </w:rPr>
            </w:pPr>
            <w:hyperlink r:id="rId76">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22</w:t>
              </w:r>
            </w:hyperlink>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23" w:lineRule="exact"/>
              <w:rPr>
                <w:sz w:val="20"/>
                <w:szCs w:val="20"/>
                <w:color w:val="auto"/>
              </w:rPr>
            </w:pPr>
            <w:r>
              <w:rPr>
                <w:rFonts w:ascii="Times New Roman" w:cs="Times New Roman" w:eastAsia="Times New Roman" w:hAnsi="Times New Roman"/>
                <w:sz w:val="11"/>
                <w:szCs w:val="11"/>
                <w:color w:val="auto"/>
              </w:rPr>
              <w:t>Fourth Amendment, dated October 1, 2018, between FormFactor, Inc. and MOHR</w:t>
            </w:r>
          </w:p>
        </w:tc>
        <w:tc>
          <w:tcPr>
            <w:tcW w:w="980" w:type="dxa"/>
            <w:vAlign w:val="bottom"/>
            <w:gridSpan w:val="2"/>
            <w:shd w:val="clear" w:color="auto" w:fill="CCEEFF"/>
          </w:tcPr>
          <w:p>
            <w:pPr>
              <w:jc w:val="right"/>
              <w:ind w:right="140"/>
              <w:spacing w:after="0" w:line="123" w:lineRule="exact"/>
              <w:rPr>
                <w:sz w:val="20"/>
                <w:szCs w:val="20"/>
                <w:color w:val="auto"/>
              </w:rPr>
            </w:pPr>
            <w:r>
              <w:rPr>
                <w:rFonts w:ascii="Times New Roman" w:cs="Times New Roman" w:eastAsia="Times New Roman" w:hAnsi="Times New Roman"/>
                <w:sz w:val="11"/>
                <w:szCs w:val="11"/>
                <w:color w:val="auto"/>
              </w:rPr>
              <w:t>8-K</w:t>
            </w:r>
          </w:p>
        </w:tc>
        <w:tc>
          <w:tcPr>
            <w:tcW w:w="13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000-50307</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10/2/2018</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10.2</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8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4120" w:type="dxa"/>
            <w:vAlign w:val="bottom"/>
            <w:tcBorders>
              <w:top w:val="single" w:sz="8" w:color="CCEEFF"/>
            </w:tcBorders>
            <w:gridSpan w:val="2"/>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PCC, LP, to Pacific Corporate Center Lease, dated October 5, 2004, by and between</w:t>
            </w:r>
          </w:p>
        </w:tc>
        <w:tc>
          <w:tcPr>
            <w:tcW w:w="8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3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Greenville Investors, L.P. and FormFactor, Inc., as amended</w:t>
            </w: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140" w:type="dxa"/>
            <w:vAlign w:val="bottom"/>
            <w:gridSpan w:val="5"/>
          </w:tcPr>
          <w:p>
            <w:pPr>
              <w:jc w:val="right"/>
              <w:spacing w:after="0" w:line="117" w:lineRule="exact"/>
              <w:rPr>
                <w:rFonts w:ascii="Times New Roman" w:cs="Times New Roman" w:eastAsia="Times New Roman" w:hAnsi="Times New Roman"/>
                <w:sz w:val="11"/>
                <w:szCs w:val="11"/>
                <w:color w:val="0000FF"/>
              </w:rPr>
            </w:pPr>
            <w:hyperlink r:id="rId77">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27</w:t>
              </w:r>
            </w:hyperlink>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Rental Agreement by and between Cascade Microtech Dresden GmbH and Süss</w:t>
            </w:r>
          </w:p>
        </w:tc>
        <w:tc>
          <w:tcPr>
            <w:tcW w:w="9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10-Q</w:t>
            </w:r>
          </w:p>
        </w:tc>
        <w:tc>
          <w:tcPr>
            <w:tcW w:w="13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000-51072</w:t>
            </w:r>
          </w:p>
        </w:tc>
        <w:tc>
          <w:tcPr>
            <w:tcW w:w="10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8/10/2011</w:t>
            </w:r>
          </w:p>
        </w:tc>
        <w:tc>
          <w:tcPr>
            <w:tcW w:w="80" w:type="dxa"/>
            <w:vAlign w:val="bottom"/>
          </w:tcPr>
          <w:p>
            <w:pPr>
              <w:spacing w:after="0"/>
              <w:rPr>
                <w:sz w:val="10"/>
                <w:szCs w:val="10"/>
                <w:color w:val="auto"/>
              </w:rPr>
            </w:pPr>
          </w:p>
        </w:tc>
        <w:tc>
          <w:tcPr>
            <w:tcW w:w="960" w:type="dxa"/>
            <w:vAlign w:val="bottom"/>
          </w:tcPr>
          <w:p>
            <w:pPr>
              <w:jc w:val="right"/>
              <w:ind w:right="3"/>
              <w:spacing w:after="0" w:line="117" w:lineRule="exact"/>
              <w:rPr>
                <w:sz w:val="20"/>
                <w:szCs w:val="20"/>
                <w:color w:val="auto"/>
              </w:rPr>
            </w:pPr>
            <w:r>
              <w:rPr>
                <w:rFonts w:ascii="Times New Roman" w:cs="Times New Roman" w:eastAsia="Times New Roman" w:hAnsi="Times New Roman"/>
                <w:sz w:val="11"/>
                <w:szCs w:val="11"/>
                <w:color w:val="auto"/>
              </w:rPr>
              <w:t>10.3</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Grundstücksverwaltungs GbR dated as of June 17, 2011.</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140" w:type="dxa"/>
            <w:vAlign w:val="bottom"/>
            <w:gridSpan w:val="5"/>
            <w:shd w:val="clear" w:color="auto" w:fill="CCEEFF"/>
          </w:tcPr>
          <w:p>
            <w:pPr>
              <w:jc w:val="right"/>
              <w:spacing w:after="0" w:line="118" w:lineRule="exact"/>
              <w:rPr>
                <w:rFonts w:ascii="Times New Roman" w:cs="Times New Roman" w:eastAsia="Times New Roman" w:hAnsi="Times New Roman"/>
                <w:sz w:val="11"/>
                <w:szCs w:val="11"/>
                <w:color w:val="0000FF"/>
              </w:rPr>
            </w:pPr>
            <w:hyperlink r:id="rId78">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29</w:t>
              </w:r>
            </w:hyperlink>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1"/>
                <w:szCs w:val="11"/>
                <w:color w:val="auto"/>
              </w:rPr>
              <w:t>First Amendment to Lease dated January 10, 2007, between Nimbus Center LLC (as</w:t>
            </w:r>
          </w:p>
        </w:tc>
        <w:tc>
          <w:tcPr>
            <w:tcW w:w="980" w:type="dxa"/>
            <w:vAlign w:val="bottom"/>
            <w:gridSpan w:val="2"/>
            <w:shd w:val="clear" w:color="auto" w:fill="CCEEFF"/>
          </w:tcPr>
          <w:p>
            <w:pPr>
              <w:jc w:val="right"/>
              <w:ind w:right="140"/>
              <w:spacing w:after="0" w:line="118" w:lineRule="exact"/>
              <w:rPr>
                <w:sz w:val="20"/>
                <w:szCs w:val="20"/>
                <w:color w:val="auto"/>
              </w:rPr>
            </w:pPr>
            <w:r>
              <w:rPr>
                <w:rFonts w:ascii="Times New Roman" w:cs="Times New Roman" w:eastAsia="Times New Roman" w:hAnsi="Times New Roman"/>
                <w:sz w:val="11"/>
                <w:szCs w:val="11"/>
                <w:color w:val="auto"/>
              </w:rPr>
              <w:t>10-Q</w:t>
            </w:r>
          </w:p>
        </w:tc>
        <w:tc>
          <w:tcPr>
            <w:tcW w:w="13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000-51072</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5/9/2014</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1"/>
                <w:szCs w:val="11"/>
                <w:color w:val="auto"/>
              </w:rPr>
              <w:t>10.1</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successor in interest to Spieker Properties, L.P.) and Cascade Microtech, Inc.</w:t>
            </w:r>
          </w:p>
        </w:tc>
        <w:tc>
          <w:tcPr>
            <w:tcW w:w="8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140" w:type="dxa"/>
            <w:vAlign w:val="bottom"/>
            <w:gridSpan w:val="5"/>
          </w:tcPr>
          <w:p>
            <w:pPr>
              <w:jc w:val="right"/>
              <w:spacing w:after="0" w:line="117" w:lineRule="exact"/>
              <w:rPr>
                <w:rFonts w:ascii="Times New Roman" w:cs="Times New Roman" w:eastAsia="Times New Roman" w:hAnsi="Times New Roman"/>
                <w:sz w:val="11"/>
                <w:szCs w:val="11"/>
                <w:color w:val="0000FF"/>
              </w:rPr>
            </w:pPr>
            <w:hyperlink r:id="rId79">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30</w:t>
              </w:r>
            </w:hyperlink>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Second Amendment to Lease dated February 25, 2013, between Nimbus Center LLC</w:t>
            </w:r>
          </w:p>
        </w:tc>
        <w:tc>
          <w:tcPr>
            <w:tcW w:w="9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10-Q</w:t>
            </w:r>
          </w:p>
        </w:tc>
        <w:tc>
          <w:tcPr>
            <w:tcW w:w="13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000-51072</w:t>
            </w:r>
          </w:p>
        </w:tc>
        <w:tc>
          <w:tcPr>
            <w:tcW w:w="10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5/8/2013</w:t>
            </w:r>
          </w:p>
        </w:tc>
        <w:tc>
          <w:tcPr>
            <w:tcW w:w="80" w:type="dxa"/>
            <w:vAlign w:val="bottom"/>
          </w:tcPr>
          <w:p>
            <w:pPr>
              <w:spacing w:after="0"/>
              <w:rPr>
                <w:sz w:val="10"/>
                <w:szCs w:val="10"/>
                <w:color w:val="auto"/>
              </w:rPr>
            </w:pPr>
          </w:p>
        </w:tc>
        <w:tc>
          <w:tcPr>
            <w:tcW w:w="960" w:type="dxa"/>
            <w:vAlign w:val="bottom"/>
          </w:tcPr>
          <w:p>
            <w:pPr>
              <w:jc w:val="right"/>
              <w:ind w:right="3"/>
              <w:spacing w:after="0" w:line="117" w:lineRule="exact"/>
              <w:rPr>
                <w:sz w:val="20"/>
                <w:szCs w:val="20"/>
                <w:color w:val="auto"/>
              </w:rPr>
            </w:pPr>
            <w:r>
              <w:rPr>
                <w:rFonts w:ascii="Times New Roman" w:cs="Times New Roman" w:eastAsia="Times New Roman" w:hAnsi="Times New Roman"/>
                <w:sz w:val="11"/>
                <w:szCs w:val="11"/>
                <w:color w:val="auto"/>
              </w:rPr>
              <w:t>10.2</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and Cascade Microtech, Inc.</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0"/>
          </w:cols>
          <w:pgMar w:left="460" w:top="1078" w:right="4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58"/>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280" w:type="dxa"/>
            <w:vAlign w:val="bottom"/>
            <w:gridSpan w:val="6"/>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Exhibit</w:t>
            </w:r>
          </w:p>
        </w:tc>
        <w:tc>
          <w:tcPr>
            <w:tcW w:w="412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9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4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220" w:type="dxa"/>
            <w:vAlign w:val="bottom"/>
            <w:gridSpan w:val="2"/>
          </w:tcPr>
          <w:p>
            <w:pPr>
              <w:ind w:left="380"/>
              <w:spacing w:after="0" w:line="108" w:lineRule="exact"/>
              <w:rPr>
                <w:sz w:val="20"/>
                <w:szCs w:val="20"/>
                <w:color w:val="auto"/>
              </w:rPr>
            </w:pPr>
            <w:r>
              <w:rPr>
                <w:rFonts w:ascii="Times New Roman" w:cs="Times New Roman" w:eastAsia="Times New Roman" w:hAnsi="Times New Roman"/>
                <w:sz w:val="11"/>
                <w:szCs w:val="11"/>
                <w:b w:val="1"/>
                <w:bCs w:val="1"/>
                <w:color w:val="auto"/>
              </w:rPr>
              <w:t>Date of</w:t>
            </w:r>
          </w:p>
        </w:tc>
        <w:tc>
          <w:tcPr>
            <w:tcW w:w="9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53"/>
        </w:trPr>
        <w:tc>
          <w:tcPr>
            <w:tcW w:w="1280" w:type="dxa"/>
            <w:vAlign w:val="bottom"/>
            <w:gridSpan w:val="6"/>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12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First Filing</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Herewith</w:t>
            </w:r>
          </w:p>
        </w:tc>
        <w:tc>
          <w:tcPr>
            <w:tcW w:w="0" w:type="dxa"/>
            <w:vAlign w:val="bottom"/>
          </w:tcPr>
          <w:p>
            <w:pPr>
              <w:spacing w:after="0"/>
              <w:rPr>
                <w:sz w:val="1"/>
                <w:szCs w:val="1"/>
                <w:color w:val="auto"/>
              </w:rPr>
            </w:pPr>
          </w:p>
        </w:tc>
      </w:tr>
      <w:tr>
        <w:trPr>
          <w:trHeight w:val="112"/>
        </w:trPr>
        <w:tc>
          <w:tcPr>
            <w:tcW w:w="1140" w:type="dxa"/>
            <w:vAlign w:val="bottom"/>
            <w:tcBorders>
              <w:top w:val="single" w:sz="8" w:color="auto"/>
            </w:tcBorders>
            <w:gridSpan w:val="5"/>
            <w:shd w:val="clear" w:color="auto" w:fill="CCEEFF"/>
          </w:tcPr>
          <w:p>
            <w:pPr>
              <w:jc w:val="right"/>
              <w:spacing w:after="0" w:line="112" w:lineRule="exact"/>
              <w:rPr>
                <w:rFonts w:ascii="Times New Roman" w:cs="Times New Roman" w:eastAsia="Times New Roman" w:hAnsi="Times New Roman"/>
                <w:sz w:val="11"/>
                <w:szCs w:val="11"/>
                <w:color w:val="0000FF"/>
              </w:rPr>
            </w:pPr>
            <w:hyperlink r:id="rId81">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31</w:t>
              </w:r>
            </w:hyperlink>
          </w:p>
        </w:tc>
        <w:tc>
          <w:tcPr>
            <w:tcW w:w="140" w:type="dxa"/>
            <w:vAlign w:val="bottom"/>
            <w:tcBorders>
              <w:top w:val="single" w:sz="8" w:color="CCEEFF"/>
            </w:tcBorders>
            <w:shd w:val="clear" w:color="auto" w:fill="CCEEFF"/>
          </w:tcPr>
          <w:p>
            <w:pPr>
              <w:spacing w:after="0"/>
              <w:rPr>
                <w:sz w:val="9"/>
                <w:szCs w:val="9"/>
                <w:color w:val="auto"/>
              </w:rPr>
            </w:pPr>
          </w:p>
        </w:tc>
        <w:tc>
          <w:tcPr>
            <w:tcW w:w="3960" w:type="dxa"/>
            <w:vAlign w:val="bottom"/>
            <w:tcBorders>
              <w:top w:val="single" w:sz="8" w:color="auto"/>
            </w:tcBorders>
            <w:shd w:val="clear" w:color="auto" w:fill="CCEEFF"/>
          </w:tcPr>
          <w:p>
            <w:pPr>
              <w:ind w:left="20"/>
              <w:spacing w:after="0" w:line="112" w:lineRule="exact"/>
              <w:rPr>
                <w:sz w:val="20"/>
                <w:szCs w:val="20"/>
                <w:color w:val="auto"/>
              </w:rPr>
            </w:pPr>
            <w:r>
              <w:rPr>
                <w:rFonts w:ascii="Times New Roman" w:cs="Times New Roman" w:eastAsia="Times New Roman" w:hAnsi="Times New Roman"/>
                <w:sz w:val="11"/>
                <w:szCs w:val="11"/>
                <w:color w:val="auto"/>
              </w:rPr>
              <w:t>Third Amendment to Lease dated January 23, 2014, between Nimbus Center LLC and</w:t>
            </w:r>
          </w:p>
        </w:tc>
        <w:tc>
          <w:tcPr>
            <w:tcW w:w="1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ind w:left="600"/>
              <w:spacing w:after="0" w:line="112" w:lineRule="exact"/>
              <w:rPr>
                <w:sz w:val="20"/>
                <w:szCs w:val="20"/>
                <w:color w:val="auto"/>
              </w:rPr>
            </w:pPr>
            <w:r>
              <w:rPr>
                <w:rFonts w:ascii="Times New Roman" w:cs="Times New Roman" w:eastAsia="Times New Roman" w:hAnsi="Times New Roman"/>
                <w:sz w:val="11"/>
                <w:szCs w:val="11"/>
                <w:color w:val="auto"/>
              </w:rPr>
              <w:t>10-Q</w:t>
            </w:r>
          </w:p>
        </w:tc>
        <w:tc>
          <w:tcPr>
            <w:tcW w:w="120" w:type="dxa"/>
            <w:vAlign w:val="bottom"/>
            <w:tcBorders>
              <w:top w:val="single" w:sz="8" w:color="CCEEFF"/>
            </w:tcBorders>
            <w:shd w:val="clear" w:color="auto" w:fill="CCEEFF"/>
          </w:tcPr>
          <w:p>
            <w:pPr>
              <w:spacing w:after="0"/>
              <w:rPr>
                <w:sz w:val="9"/>
                <w:szCs w:val="9"/>
                <w:color w:val="auto"/>
              </w:rPr>
            </w:pPr>
          </w:p>
        </w:tc>
        <w:tc>
          <w:tcPr>
            <w:tcW w:w="1380" w:type="dxa"/>
            <w:vAlign w:val="bottom"/>
            <w:tcBorders>
              <w:top w:val="single" w:sz="8" w:color="auto"/>
            </w:tcBorders>
            <w:shd w:val="clear" w:color="auto" w:fill="CCEEFF"/>
          </w:tcPr>
          <w:p>
            <w:pPr>
              <w:ind w:left="880"/>
              <w:spacing w:after="0" w:line="112" w:lineRule="exact"/>
              <w:rPr>
                <w:sz w:val="20"/>
                <w:szCs w:val="20"/>
                <w:color w:val="auto"/>
              </w:rPr>
            </w:pPr>
            <w:r>
              <w:rPr>
                <w:rFonts w:ascii="Times New Roman" w:cs="Times New Roman" w:eastAsia="Times New Roman" w:hAnsi="Times New Roman"/>
                <w:sz w:val="11"/>
                <w:szCs w:val="11"/>
                <w:color w:val="auto"/>
              </w:rPr>
              <w:t>000-51072</w:t>
            </w:r>
          </w:p>
        </w:tc>
        <w:tc>
          <w:tcPr>
            <w:tcW w:w="10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rPr>
              <w:t>5/9/2014</w:t>
            </w:r>
          </w:p>
        </w:tc>
        <w:tc>
          <w:tcPr>
            <w:tcW w:w="8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jc w:val="right"/>
              <w:ind w:right="3"/>
              <w:spacing w:after="0" w:line="112" w:lineRule="exact"/>
              <w:rPr>
                <w:sz w:val="20"/>
                <w:szCs w:val="20"/>
                <w:color w:val="auto"/>
              </w:rPr>
            </w:pPr>
            <w:r>
              <w:rPr>
                <w:rFonts w:ascii="Times New Roman" w:cs="Times New Roman" w:eastAsia="Times New Roman" w:hAnsi="Times New Roman"/>
                <w:sz w:val="11"/>
                <w:szCs w:val="11"/>
                <w:color w:val="auto"/>
              </w:rPr>
              <w:t>10.2</w:t>
            </w:r>
          </w:p>
        </w:tc>
        <w:tc>
          <w:tcPr>
            <w:tcW w:w="8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8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Cascade Microtech, Inc.</w:t>
            </w:r>
          </w:p>
        </w:tc>
        <w:tc>
          <w:tcPr>
            <w:tcW w:w="8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140" w:type="dxa"/>
            <w:vAlign w:val="bottom"/>
            <w:gridSpan w:val="5"/>
          </w:tcPr>
          <w:p>
            <w:pPr>
              <w:jc w:val="right"/>
              <w:spacing w:after="0" w:line="117" w:lineRule="exact"/>
              <w:rPr>
                <w:rFonts w:ascii="Times New Roman" w:cs="Times New Roman" w:eastAsia="Times New Roman" w:hAnsi="Times New Roman"/>
                <w:sz w:val="11"/>
                <w:szCs w:val="11"/>
                <w:color w:val="0000FF"/>
              </w:rPr>
            </w:pPr>
            <w:hyperlink r:id="rId82">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32</w:t>
              </w:r>
            </w:hyperlink>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Fourth Amendment to Lease dated March 31, 2014, between Nimbus Center LLC and</w:t>
            </w:r>
          </w:p>
        </w:tc>
        <w:tc>
          <w:tcPr>
            <w:tcW w:w="980" w:type="dxa"/>
            <w:vAlign w:val="bottom"/>
            <w:gridSpan w:val="2"/>
          </w:tcPr>
          <w:p>
            <w:pPr>
              <w:ind w:left="600"/>
              <w:spacing w:after="0" w:line="117" w:lineRule="exact"/>
              <w:rPr>
                <w:sz w:val="20"/>
                <w:szCs w:val="20"/>
                <w:color w:val="auto"/>
              </w:rPr>
            </w:pPr>
            <w:r>
              <w:rPr>
                <w:rFonts w:ascii="Times New Roman" w:cs="Times New Roman" w:eastAsia="Times New Roman" w:hAnsi="Times New Roman"/>
                <w:sz w:val="11"/>
                <w:szCs w:val="11"/>
                <w:color w:val="auto"/>
              </w:rPr>
              <w:t>10-Q</w:t>
            </w:r>
          </w:p>
        </w:tc>
        <w:tc>
          <w:tcPr>
            <w:tcW w:w="1380" w:type="dxa"/>
            <w:vAlign w:val="bottom"/>
          </w:tcPr>
          <w:p>
            <w:pPr>
              <w:ind w:left="880"/>
              <w:spacing w:after="0" w:line="117" w:lineRule="exact"/>
              <w:rPr>
                <w:sz w:val="20"/>
                <w:szCs w:val="20"/>
                <w:color w:val="auto"/>
              </w:rPr>
            </w:pPr>
            <w:r>
              <w:rPr>
                <w:rFonts w:ascii="Times New Roman" w:cs="Times New Roman" w:eastAsia="Times New Roman" w:hAnsi="Times New Roman"/>
                <w:sz w:val="11"/>
                <w:szCs w:val="11"/>
                <w:color w:val="auto"/>
              </w:rPr>
              <w:t>000-51072</w:t>
            </w:r>
          </w:p>
        </w:tc>
        <w:tc>
          <w:tcPr>
            <w:tcW w:w="10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5/9/2014</w:t>
            </w:r>
          </w:p>
        </w:tc>
        <w:tc>
          <w:tcPr>
            <w:tcW w:w="80" w:type="dxa"/>
            <w:vAlign w:val="bottom"/>
          </w:tcPr>
          <w:p>
            <w:pPr>
              <w:spacing w:after="0"/>
              <w:rPr>
                <w:sz w:val="10"/>
                <w:szCs w:val="10"/>
                <w:color w:val="auto"/>
              </w:rPr>
            </w:pPr>
          </w:p>
        </w:tc>
        <w:tc>
          <w:tcPr>
            <w:tcW w:w="960" w:type="dxa"/>
            <w:vAlign w:val="bottom"/>
          </w:tcPr>
          <w:p>
            <w:pPr>
              <w:jc w:val="right"/>
              <w:ind w:right="3"/>
              <w:spacing w:after="0" w:line="117" w:lineRule="exact"/>
              <w:rPr>
                <w:sz w:val="20"/>
                <w:szCs w:val="20"/>
                <w:color w:val="auto"/>
              </w:rPr>
            </w:pPr>
            <w:r>
              <w:rPr>
                <w:rFonts w:ascii="Times New Roman" w:cs="Times New Roman" w:eastAsia="Times New Roman" w:hAnsi="Times New Roman"/>
                <w:sz w:val="11"/>
                <w:szCs w:val="11"/>
                <w:color w:val="auto"/>
              </w:rPr>
              <w:t>10.3</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Cascade Microtech, Inc.</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140" w:type="dxa"/>
            <w:vAlign w:val="bottom"/>
            <w:gridSpan w:val="5"/>
            <w:shd w:val="clear" w:color="auto" w:fill="CCEEFF"/>
          </w:tcPr>
          <w:p>
            <w:pPr>
              <w:jc w:val="right"/>
              <w:spacing w:after="0" w:line="118" w:lineRule="exact"/>
              <w:rPr>
                <w:rFonts w:ascii="Times New Roman" w:cs="Times New Roman" w:eastAsia="Times New Roman" w:hAnsi="Times New Roman"/>
                <w:sz w:val="11"/>
                <w:szCs w:val="11"/>
                <w:color w:val="0000FF"/>
              </w:rPr>
            </w:pPr>
            <w:hyperlink r:id="rId83">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33</w:t>
              </w:r>
            </w:hyperlink>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1"/>
                <w:szCs w:val="11"/>
                <w:color w:val="auto"/>
              </w:rPr>
              <w:t>Fifth Amendment to Lease dated September 24, 2014, between Nimbus Center LLC</w:t>
            </w:r>
          </w:p>
        </w:tc>
        <w:tc>
          <w:tcPr>
            <w:tcW w:w="980" w:type="dxa"/>
            <w:vAlign w:val="bottom"/>
            <w:gridSpan w:val="2"/>
            <w:shd w:val="clear" w:color="auto" w:fill="CCEEFF"/>
          </w:tcPr>
          <w:p>
            <w:pPr>
              <w:ind w:left="600"/>
              <w:spacing w:after="0" w:line="118" w:lineRule="exact"/>
              <w:rPr>
                <w:sz w:val="20"/>
                <w:szCs w:val="20"/>
                <w:color w:val="auto"/>
              </w:rPr>
            </w:pPr>
            <w:r>
              <w:rPr>
                <w:rFonts w:ascii="Times New Roman" w:cs="Times New Roman" w:eastAsia="Times New Roman" w:hAnsi="Times New Roman"/>
                <w:sz w:val="11"/>
                <w:szCs w:val="11"/>
                <w:color w:val="auto"/>
              </w:rPr>
              <w:t>10-K</w:t>
            </w:r>
          </w:p>
        </w:tc>
        <w:tc>
          <w:tcPr>
            <w:tcW w:w="1380" w:type="dxa"/>
            <w:vAlign w:val="bottom"/>
            <w:shd w:val="clear" w:color="auto" w:fill="CCEEFF"/>
          </w:tcPr>
          <w:p>
            <w:pPr>
              <w:ind w:left="880"/>
              <w:spacing w:after="0" w:line="118" w:lineRule="exact"/>
              <w:rPr>
                <w:sz w:val="20"/>
                <w:szCs w:val="20"/>
                <w:color w:val="auto"/>
              </w:rPr>
            </w:pPr>
            <w:r>
              <w:rPr>
                <w:rFonts w:ascii="Times New Roman" w:cs="Times New Roman" w:eastAsia="Times New Roman" w:hAnsi="Times New Roman"/>
                <w:sz w:val="11"/>
                <w:szCs w:val="11"/>
                <w:color w:val="auto"/>
              </w:rPr>
              <w:t>000-51072</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3/72016</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1"/>
                <w:szCs w:val="11"/>
                <w:color w:val="auto"/>
              </w:rPr>
              <w:t>10.22</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and Cascade Microtech, Inc.</w:t>
            </w:r>
          </w:p>
        </w:tc>
        <w:tc>
          <w:tcPr>
            <w:tcW w:w="8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140" w:type="dxa"/>
            <w:vAlign w:val="bottom"/>
            <w:gridSpan w:val="5"/>
          </w:tcPr>
          <w:p>
            <w:pPr>
              <w:jc w:val="right"/>
              <w:spacing w:after="0" w:line="117" w:lineRule="exact"/>
              <w:rPr>
                <w:rFonts w:ascii="Times New Roman" w:cs="Times New Roman" w:eastAsia="Times New Roman" w:hAnsi="Times New Roman"/>
                <w:sz w:val="11"/>
                <w:szCs w:val="11"/>
                <w:color w:val="0000FF"/>
              </w:rPr>
            </w:pPr>
            <w:hyperlink r:id="rId84">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34</w:t>
              </w:r>
            </w:hyperlink>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Sixth Amendment to Lease dated July 8, 2015, between Nimbus Center LLC and</w:t>
            </w:r>
          </w:p>
        </w:tc>
        <w:tc>
          <w:tcPr>
            <w:tcW w:w="980" w:type="dxa"/>
            <w:vAlign w:val="bottom"/>
            <w:gridSpan w:val="2"/>
          </w:tcPr>
          <w:p>
            <w:pPr>
              <w:ind w:left="600"/>
              <w:spacing w:after="0" w:line="117" w:lineRule="exact"/>
              <w:rPr>
                <w:sz w:val="20"/>
                <w:szCs w:val="20"/>
                <w:color w:val="auto"/>
              </w:rPr>
            </w:pPr>
            <w:r>
              <w:rPr>
                <w:rFonts w:ascii="Times New Roman" w:cs="Times New Roman" w:eastAsia="Times New Roman" w:hAnsi="Times New Roman"/>
                <w:sz w:val="11"/>
                <w:szCs w:val="11"/>
                <w:color w:val="auto"/>
              </w:rPr>
              <w:t>10-K</w:t>
            </w:r>
          </w:p>
        </w:tc>
        <w:tc>
          <w:tcPr>
            <w:tcW w:w="1380" w:type="dxa"/>
            <w:vAlign w:val="bottom"/>
          </w:tcPr>
          <w:p>
            <w:pPr>
              <w:ind w:left="880"/>
              <w:spacing w:after="0" w:line="117" w:lineRule="exact"/>
              <w:rPr>
                <w:sz w:val="20"/>
                <w:szCs w:val="20"/>
                <w:color w:val="auto"/>
              </w:rPr>
            </w:pPr>
            <w:r>
              <w:rPr>
                <w:rFonts w:ascii="Times New Roman" w:cs="Times New Roman" w:eastAsia="Times New Roman" w:hAnsi="Times New Roman"/>
                <w:sz w:val="11"/>
                <w:szCs w:val="11"/>
                <w:color w:val="auto"/>
              </w:rPr>
              <w:t>000-51072</w:t>
            </w:r>
          </w:p>
        </w:tc>
        <w:tc>
          <w:tcPr>
            <w:tcW w:w="10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3/72016</w:t>
            </w:r>
          </w:p>
        </w:tc>
        <w:tc>
          <w:tcPr>
            <w:tcW w:w="80" w:type="dxa"/>
            <w:vAlign w:val="bottom"/>
          </w:tcPr>
          <w:p>
            <w:pPr>
              <w:spacing w:after="0"/>
              <w:rPr>
                <w:sz w:val="10"/>
                <w:szCs w:val="10"/>
                <w:color w:val="auto"/>
              </w:rPr>
            </w:pPr>
          </w:p>
        </w:tc>
        <w:tc>
          <w:tcPr>
            <w:tcW w:w="960" w:type="dxa"/>
            <w:vAlign w:val="bottom"/>
          </w:tcPr>
          <w:p>
            <w:pPr>
              <w:jc w:val="right"/>
              <w:ind w:right="3"/>
              <w:spacing w:after="0" w:line="117" w:lineRule="exact"/>
              <w:rPr>
                <w:sz w:val="20"/>
                <w:szCs w:val="20"/>
                <w:color w:val="auto"/>
              </w:rPr>
            </w:pPr>
            <w:r>
              <w:rPr>
                <w:rFonts w:ascii="Times New Roman" w:cs="Times New Roman" w:eastAsia="Times New Roman" w:hAnsi="Times New Roman"/>
                <w:sz w:val="11"/>
                <w:szCs w:val="11"/>
                <w:color w:val="auto"/>
              </w:rPr>
              <w:t>10.23</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Cascade Microtech, Inc.</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140" w:type="dxa"/>
            <w:vAlign w:val="bottom"/>
            <w:gridSpan w:val="5"/>
            <w:shd w:val="clear" w:color="auto" w:fill="CCEEFF"/>
          </w:tcPr>
          <w:p>
            <w:pPr>
              <w:jc w:val="right"/>
              <w:spacing w:after="0" w:line="118" w:lineRule="exact"/>
              <w:rPr>
                <w:rFonts w:ascii="Times New Roman" w:cs="Times New Roman" w:eastAsia="Times New Roman" w:hAnsi="Times New Roman"/>
                <w:sz w:val="11"/>
                <w:szCs w:val="11"/>
                <w:color w:val="0000FF"/>
              </w:rPr>
            </w:pPr>
            <w:hyperlink r:id="rId85">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35</w:t>
              </w:r>
            </w:hyperlink>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1"/>
                <w:szCs w:val="11"/>
                <w:color w:val="auto"/>
              </w:rPr>
              <w:t>Seventh Amendment to Lease dated June 5, 2018, between Nimbus Center LLC and</w:t>
            </w:r>
          </w:p>
        </w:tc>
        <w:tc>
          <w:tcPr>
            <w:tcW w:w="980" w:type="dxa"/>
            <w:vAlign w:val="bottom"/>
            <w:gridSpan w:val="2"/>
            <w:shd w:val="clear" w:color="auto" w:fill="CCEEFF"/>
          </w:tcPr>
          <w:p>
            <w:pPr>
              <w:ind w:left="600"/>
              <w:spacing w:after="0" w:line="118" w:lineRule="exact"/>
              <w:rPr>
                <w:sz w:val="20"/>
                <w:szCs w:val="20"/>
                <w:color w:val="auto"/>
              </w:rPr>
            </w:pPr>
            <w:r>
              <w:rPr>
                <w:rFonts w:ascii="Times New Roman" w:cs="Times New Roman" w:eastAsia="Times New Roman" w:hAnsi="Times New Roman"/>
                <w:sz w:val="11"/>
                <w:szCs w:val="11"/>
                <w:color w:val="auto"/>
              </w:rPr>
              <w:t>10-K</w:t>
            </w:r>
          </w:p>
        </w:tc>
        <w:tc>
          <w:tcPr>
            <w:tcW w:w="1380" w:type="dxa"/>
            <w:vAlign w:val="bottom"/>
            <w:shd w:val="clear" w:color="auto" w:fill="CCEEFF"/>
          </w:tcPr>
          <w:p>
            <w:pPr>
              <w:ind w:left="880"/>
              <w:spacing w:after="0" w:line="118" w:lineRule="exact"/>
              <w:rPr>
                <w:sz w:val="20"/>
                <w:szCs w:val="20"/>
                <w:color w:val="auto"/>
              </w:rPr>
            </w:pPr>
            <w:r>
              <w:rPr>
                <w:rFonts w:ascii="Times New Roman" w:cs="Times New Roman" w:eastAsia="Times New Roman" w:hAnsi="Times New Roman"/>
                <w:sz w:val="11"/>
                <w:szCs w:val="11"/>
                <w:color w:val="auto"/>
              </w:rPr>
              <w:t>000-50307</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2/24/2023</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1"/>
                <w:szCs w:val="11"/>
                <w:color w:val="auto"/>
              </w:rPr>
              <w:t>10.35</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FormFactor Beaverton, Inc.</w:t>
            </w:r>
          </w:p>
        </w:tc>
        <w:tc>
          <w:tcPr>
            <w:tcW w:w="8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140" w:type="dxa"/>
            <w:vAlign w:val="bottom"/>
            <w:gridSpan w:val="5"/>
          </w:tcPr>
          <w:p>
            <w:pPr>
              <w:jc w:val="right"/>
              <w:spacing w:after="0" w:line="117" w:lineRule="exact"/>
              <w:rPr>
                <w:rFonts w:ascii="Times New Roman" w:cs="Times New Roman" w:eastAsia="Times New Roman" w:hAnsi="Times New Roman"/>
                <w:sz w:val="11"/>
                <w:szCs w:val="11"/>
                <w:color w:val="0000FF"/>
              </w:rPr>
            </w:pPr>
            <w:hyperlink r:id="rId86">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36</w:t>
              </w:r>
            </w:hyperlink>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Eighth Amendment to Lease dated December 14, 2022, between Nimbus Center LLC</w:t>
            </w:r>
          </w:p>
        </w:tc>
        <w:tc>
          <w:tcPr>
            <w:tcW w:w="980" w:type="dxa"/>
            <w:vAlign w:val="bottom"/>
            <w:gridSpan w:val="2"/>
          </w:tcPr>
          <w:p>
            <w:pPr>
              <w:ind w:left="600"/>
              <w:spacing w:after="0" w:line="117" w:lineRule="exact"/>
              <w:rPr>
                <w:sz w:val="20"/>
                <w:szCs w:val="20"/>
                <w:color w:val="auto"/>
              </w:rPr>
            </w:pPr>
            <w:r>
              <w:rPr>
                <w:rFonts w:ascii="Times New Roman" w:cs="Times New Roman" w:eastAsia="Times New Roman" w:hAnsi="Times New Roman"/>
                <w:sz w:val="11"/>
                <w:szCs w:val="11"/>
                <w:color w:val="auto"/>
              </w:rPr>
              <w:t>10-K</w:t>
            </w:r>
          </w:p>
        </w:tc>
        <w:tc>
          <w:tcPr>
            <w:tcW w:w="1380" w:type="dxa"/>
            <w:vAlign w:val="bottom"/>
          </w:tcPr>
          <w:p>
            <w:pPr>
              <w:ind w:left="880"/>
              <w:spacing w:after="0" w:line="117" w:lineRule="exact"/>
              <w:rPr>
                <w:sz w:val="20"/>
                <w:szCs w:val="20"/>
                <w:color w:val="auto"/>
              </w:rPr>
            </w:pPr>
            <w:r>
              <w:rPr>
                <w:rFonts w:ascii="Times New Roman" w:cs="Times New Roman" w:eastAsia="Times New Roman" w:hAnsi="Times New Roman"/>
                <w:sz w:val="11"/>
                <w:szCs w:val="11"/>
                <w:color w:val="auto"/>
              </w:rPr>
              <w:t>000-50307</w:t>
            </w:r>
          </w:p>
        </w:tc>
        <w:tc>
          <w:tcPr>
            <w:tcW w:w="10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2/24/2023</w:t>
            </w:r>
          </w:p>
        </w:tc>
        <w:tc>
          <w:tcPr>
            <w:tcW w:w="80" w:type="dxa"/>
            <w:vAlign w:val="bottom"/>
          </w:tcPr>
          <w:p>
            <w:pPr>
              <w:spacing w:after="0"/>
              <w:rPr>
                <w:sz w:val="10"/>
                <w:szCs w:val="10"/>
                <w:color w:val="auto"/>
              </w:rPr>
            </w:pPr>
          </w:p>
        </w:tc>
        <w:tc>
          <w:tcPr>
            <w:tcW w:w="960" w:type="dxa"/>
            <w:vAlign w:val="bottom"/>
          </w:tcPr>
          <w:p>
            <w:pPr>
              <w:jc w:val="right"/>
              <w:ind w:right="3"/>
              <w:spacing w:after="0" w:line="117" w:lineRule="exact"/>
              <w:rPr>
                <w:sz w:val="20"/>
                <w:szCs w:val="20"/>
                <w:color w:val="auto"/>
              </w:rPr>
            </w:pPr>
            <w:r>
              <w:rPr>
                <w:rFonts w:ascii="Times New Roman" w:cs="Times New Roman" w:eastAsia="Times New Roman" w:hAnsi="Times New Roman"/>
                <w:sz w:val="11"/>
                <w:szCs w:val="11"/>
                <w:color w:val="auto"/>
              </w:rPr>
              <w:t>10.36</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and FormFactor, Inc.</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140" w:type="dxa"/>
            <w:vAlign w:val="bottom"/>
            <w:gridSpan w:val="5"/>
            <w:shd w:val="clear" w:color="auto" w:fill="CCEEFF"/>
          </w:tcPr>
          <w:p>
            <w:pPr>
              <w:jc w:val="right"/>
              <w:spacing w:after="0" w:line="118" w:lineRule="exact"/>
              <w:rPr>
                <w:rFonts w:ascii="Times New Roman" w:cs="Times New Roman" w:eastAsia="Times New Roman" w:hAnsi="Times New Roman"/>
                <w:sz w:val="11"/>
                <w:szCs w:val="11"/>
                <w:color w:val="0000FF"/>
              </w:rPr>
            </w:pPr>
            <w:hyperlink r:id="rId87">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37</w:t>
              </w:r>
            </w:hyperlink>
            <w:r>
              <w:rPr>
                <w:rFonts w:ascii="Times New Roman" w:cs="Times New Roman" w:eastAsia="Times New Roman" w:hAnsi="Times New Roman"/>
                <w:sz w:val="11"/>
                <w:szCs w:val="11"/>
                <w:color w:val="000000"/>
              </w:rPr>
              <w:t>+</w:t>
            </w:r>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1"/>
                <w:szCs w:val="11"/>
                <w:color w:val="auto"/>
              </w:rPr>
              <w:t>Employment Offer Letter, dated August 29, 2012 to Mike Slessor</w:t>
            </w:r>
          </w:p>
        </w:tc>
        <w:tc>
          <w:tcPr>
            <w:tcW w:w="980" w:type="dxa"/>
            <w:vAlign w:val="bottom"/>
            <w:gridSpan w:val="2"/>
            <w:shd w:val="clear" w:color="auto" w:fill="CCEEFF"/>
          </w:tcPr>
          <w:p>
            <w:pPr>
              <w:ind w:left="600"/>
              <w:spacing w:after="0" w:line="118" w:lineRule="exact"/>
              <w:rPr>
                <w:sz w:val="20"/>
                <w:szCs w:val="20"/>
                <w:color w:val="auto"/>
              </w:rPr>
            </w:pPr>
            <w:r>
              <w:rPr>
                <w:rFonts w:ascii="Times New Roman" w:cs="Times New Roman" w:eastAsia="Times New Roman" w:hAnsi="Times New Roman"/>
                <w:sz w:val="11"/>
                <w:szCs w:val="11"/>
                <w:color w:val="auto"/>
              </w:rPr>
              <w:t>10-K</w:t>
            </w:r>
          </w:p>
        </w:tc>
        <w:tc>
          <w:tcPr>
            <w:tcW w:w="1380" w:type="dxa"/>
            <w:vAlign w:val="bottom"/>
            <w:shd w:val="clear" w:color="auto" w:fill="CCEEFF"/>
          </w:tcPr>
          <w:p>
            <w:pPr>
              <w:ind w:left="880"/>
              <w:spacing w:after="0" w:line="118" w:lineRule="exact"/>
              <w:rPr>
                <w:sz w:val="20"/>
                <w:szCs w:val="20"/>
                <w:color w:val="auto"/>
              </w:rPr>
            </w:pPr>
            <w:r>
              <w:rPr>
                <w:rFonts w:ascii="Times New Roman" w:cs="Times New Roman" w:eastAsia="Times New Roman" w:hAnsi="Times New Roman"/>
                <w:sz w:val="11"/>
                <w:szCs w:val="11"/>
                <w:color w:val="auto"/>
              </w:rPr>
              <w:t>000-50307</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3/13/2013</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10.19+</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140" w:type="dxa"/>
            <w:vAlign w:val="bottom"/>
            <w:gridSpan w:val="5"/>
          </w:tcPr>
          <w:p>
            <w:pPr>
              <w:jc w:val="right"/>
              <w:spacing w:after="0" w:line="117" w:lineRule="exact"/>
              <w:rPr>
                <w:rFonts w:ascii="Times New Roman" w:cs="Times New Roman" w:eastAsia="Times New Roman" w:hAnsi="Times New Roman"/>
                <w:sz w:val="11"/>
                <w:szCs w:val="11"/>
                <w:color w:val="0000FF"/>
              </w:rPr>
            </w:pPr>
            <w:hyperlink r:id="rId88">
              <w:r>
                <w:rPr>
                  <w:rFonts w:ascii="Times New Roman" w:cs="Times New Roman" w:eastAsia="Times New Roman" w:hAnsi="Times New Roman"/>
                  <w:sz w:val="11"/>
                  <w:szCs w:val="11"/>
                  <w:color w:val="0000FF"/>
                </w:rPr>
                <w:t>10.</w:t>
              </w:r>
            </w:hyperlink>
            <w:r>
              <w:rPr>
                <w:rFonts w:ascii="Times New Roman" w:cs="Times New Roman" w:eastAsia="Times New Roman" w:hAnsi="Times New Roman"/>
                <w:sz w:val="11"/>
                <w:szCs w:val="11"/>
                <w:u w:val="single" w:color="auto"/>
                <w:color w:val="0000FF"/>
              </w:rPr>
              <w:t>38</w:t>
            </w:r>
            <w:hyperlink r:id="rId88">
              <w:r>
                <w:rPr>
                  <w:rFonts w:ascii="Times New Roman" w:cs="Times New Roman" w:eastAsia="Times New Roman" w:hAnsi="Times New Roman"/>
                  <w:sz w:val="11"/>
                  <w:szCs w:val="11"/>
                  <w:color w:val="000000"/>
                </w:rPr>
                <w:t>+</w:t>
              </w:r>
            </w:hyperlink>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CEO Change of Control and Severance Agreement, dated July 20, 2022 by and</w:t>
            </w:r>
          </w:p>
        </w:tc>
        <w:tc>
          <w:tcPr>
            <w:tcW w:w="980" w:type="dxa"/>
            <w:vAlign w:val="bottom"/>
            <w:gridSpan w:val="2"/>
          </w:tcPr>
          <w:p>
            <w:pPr>
              <w:jc w:val="center"/>
              <w:ind w:left="463"/>
              <w:spacing w:after="0" w:line="117" w:lineRule="exact"/>
              <w:rPr>
                <w:sz w:val="20"/>
                <w:szCs w:val="20"/>
                <w:color w:val="auto"/>
              </w:rPr>
            </w:pPr>
            <w:r>
              <w:rPr>
                <w:rFonts w:ascii="Times New Roman" w:cs="Times New Roman" w:eastAsia="Times New Roman" w:hAnsi="Times New Roman"/>
                <w:sz w:val="11"/>
                <w:szCs w:val="11"/>
                <w:color w:val="auto"/>
              </w:rPr>
              <w:t>8-K</w:t>
            </w:r>
          </w:p>
        </w:tc>
        <w:tc>
          <w:tcPr>
            <w:tcW w:w="1380" w:type="dxa"/>
            <w:vAlign w:val="bottom"/>
          </w:tcPr>
          <w:p>
            <w:pPr>
              <w:ind w:left="880"/>
              <w:spacing w:after="0" w:line="117" w:lineRule="exact"/>
              <w:rPr>
                <w:sz w:val="20"/>
                <w:szCs w:val="20"/>
                <w:color w:val="auto"/>
              </w:rPr>
            </w:pPr>
            <w:r>
              <w:rPr>
                <w:rFonts w:ascii="Times New Roman" w:cs="Times New Roman" w:eastAsia="Times New Roman" w:hAnsi="Times New Roman"/>
                <w:sz w:val="11"/>
                <w:szCs w:val="11"/>
                <w:color w:val="auto"/>
              </w:rPr>
              <w:t>000-50307</w:t>
            </w:r>
          </w:p>
        </w:tc>
        <w:tc>
          <w:tcPr>
            <w:tcW w:w="10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7/26/2022</w:t>
            </w:r>
          </w:p>
        </w:tc>
        <w:tc>
          <w:tcPr>
            <w:tcW w:w="80" w:type="dxa"/>
            <w:vAlign w:val="bottom"/>
          </w:tcPr>
          <w:p>
            <w:pPr>
              <w:spacing w:after="0"/>
              <w:rPr>
                <w:sz w:val="10"/>
                <w:szCs w:val="10"/>
                <w:color w:val="auto"/>
              </w:rPr>
            </w:pPr>
          </w:p>
        </w:tc>
        <w:tc>
          <w:tcPr>
            <w:tcW w:w="960" w:type="dxa"/>
            <w:vAlign w:val="bottom"/>
          </w:tcPr>
          <w:p>
            <w:pPr>
              <w:jc w:val="right"/>
              <w:ind w:right="3"/>
              <w:spacing w:after="0" w:line="117" w:lineRule="exact"/>
              <w:rPr>
                <w:sz w:val="20"/>
                <w:szCs w:val="20"/>
                <w:color w:val="auto"/>
              </w:rPr>
            </w:pPr>
            <w:r>
              <w:rPr>
                <w:rFonts w:ascii="Times New Roman" w:cs="Times New Roman" w:eastAsia="Times New Roman" w:hAnsi="Times New Roman"/>
                <w:sz w:val="11"/>
                <w:szCs w:val="11"/>
                <w:color w:val="auto"/>
              </w:rPr>
              <w:t>10.3</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between Mike Slessor and the Registrant</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140" w:type="dxa"/>
            <w:vAlign w:val="bottom"/>
            <w:gridSpan w:val="5"/>
            <w:shd w:val="clear" w:color="auto" w:fill="CCEEFF"/>
          </w:tcPr>
          <w:p>
            <w:pPr>
              <w:jc w:val="right"/>
              <w:spacing w:after="0" w:line="118" w:lineRule="exact"/>
              <w:rPr>
                <w:rFonts w:ascii="Times New Roman" w:cs="Times New Roman" w:eastAsia="Times New Roman" w:hAnsi="Times New Roman"/>
                <w:sz w:val="11"/>
                <w:szCs w:val="11"/>
                <w:color w:val="0000FF"/>
              </w:rPr>
            </w:pPr>
            <w:hyperlink r:id="rId89">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39</w:t>
              </w:r>
            </w:hyperlink>
            <w:r>
              <w:rPr>
                <w:rFonts w:ascii="Times New Roman" w:cs="Times New Roman" w:eastAsia="Times New Roman" w:hAnsi="Times New Roman"/>
                <w:sz w:val="11"/>
                <w:szCs w:val="11"/>
                <w:color w:val="000000"/>
              </w:rPr>
              <w:t>+</w:t>
            </w:r>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1"/>
                <w:szCs w:val="11"/>
                <w:color w:val="auto"/>
              </w:rPr>
              <w:t>Employment Offer Letter, dated February 15, 2018 to Shai Shahar</w:t>
            </w:r>
          </w:p>
        </w:tc>
        <w:tc>
          <w:tcPr>
            <w:tcW w:w="980" w:type="dxa"/>
            <w:vAlign w:val="bottom"/>
            <w:gridSpan w:val="2"/>
            <w:shd w:val="clear" w:color="auto" w:fill="CCEEFF"/>
          </w:tcPr>
          <w:p>
            <w:pPr>
              <w:ind w:left="600"/>
              <w:spacing w:after="0" w:line="118" w:lineRule="exact"/>
              <w:rPr>
                <w:sz w:val="20"/>
                <w:szCs w:val="20"/>
                <w:color w:val="auto"/>
              </w:rPr>
            </w:pPr>
            <w:r>
              <w:rPr>
                <w:rFonts w:ascii="Times New Roman" w:cs="Times New Roman" w:eastAsia="Times New Roman" w:hAnsi="Times New Roman"/>
                <w:sz w:val="11"/>
                <w:szCs w:val="11"/>
                <w:color w:val="auto"/>
              </w:rPr>
              <w:t>10-Q</w:t>
            </w:r>
          </w:p>
        </w:tc>
        <w:tc>
          <w:tcPr>
            <w:tcW w:w="1380" w:type="dxa"/>
            <w:vAlign w:val="bottom"/>
            <w:shd w:val="clear" w:color="auto" w:fill="CCEEFF"/>
          </w:tcPr>
          <w:p>
            <w:pPr>
              <w:ind w:left="880"/>
              <w:spacing w:after="0" w:line="118" w:lineRule="exact"/>
              <w:rPr>
                <w:sz w:val="20"/>
                <w:szCs w:val="20"/>
                <w:color w:val="auto"/>
              </w:rPr>
            </w:pPr>
            <w:r>
              <w:rPr>
                <w:rFonts w:ascii="Times New Roman" w:cs="Times New Roman" w:eastAsia="Times New Roman" w:hAnsi="Times New Roman"/>
                <w:sz w:val="11"/>
                <w:szCs w:val="11"/>
                <w:color w:val="auto"/>
              </w:rPr>
              <w:t>000-50307</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5/8/2018</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1"/>
                <w:szCs w:val="11"/>
                <w:color w:val="auto"/>
              </w:rPr>
              <w:t>10.1</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140" w:type="dxa"/>
            <w:vAlign w:val="bottom"/>
            <w:gridSpan w:val="5"/>
          </w:tcPr>
          <w:p>
            <w:pPr>
              <w:jc w:val="right"/>
              <w:spacing w:after="0" w:line="117" w:lineRule="exact"/>
              <w:rPr>
                <w:rFonts w:ascii="Times New Roman" w:cs="Times New Roman" w:eastAsia="Times New Roman" w:hAnsi="Times New Roman"/>
                <w:sz w:val="11"/>
                <w:szCs w:val="11"/>
                <w:color w:val="0000FF"/>
              </w:rPr>
            </w:pPr>
            <w:hyperlink r:id="rId90">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40</w:t>
              </w:r>
              <w:r>
                <w:rPr>
                  <w:rFonts w:ascii="Times New Roman" w:cs="Times New Roman" w:eastAsia="Times New Roman" w:hAnsi="Times New Roman"/>
                  <w:sz w:val="11"/>
                  <w:szCs w:val="11"/>
                  <w:color w:val="000000"/>
                </w:rPr>
                <w:t>+</w:t>
              </w:r>
            </w:hyperlink>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Change of Control Severance Agreement, dated July 20, 2022 by and between Shai</w:t>
            </w:r>
          </w:p>
        </w:tc>
        <w:tc>
          <w:tcPr>
            <w:tcW w:w="980" w:type="dxa"/>
            <w:vAlign w:val="bottom"/>
            <w:gridSpan w:val="2"/>
          </w:tcPr>
          <w:p>
            <w:pPr>
              <w:jc w:val="center"/>
              <w:ind w:left="463"/>
              <w:spacing w:after="0" w:line="117" w:lineRule="exact"/>
              <w:rPr>
                <w:sz w:val="20"/>
                <w:szCs w:val="20"/>
                <w:color w:val="auto"/>
              </w:rPr>
            </w:pPr>
            <w:r>
              <w:rPr>
                <w:rFonts w:ascii="Times New Roman" w:cs="Times New Roman" w:eastAsia="Times New Roman" w:hAnsi="Times New Roman"/>
                <w:sz w:val="11"/>
                <w:szCs w:val="11"/>
                <w:color w:val="auto"/>
              </w:rPr>
              <w:t>8-K</w:t>
            </w:r>
          </w:p>
        </w:tc>
        <w:tc>
          <w:tcPr>
            <w:tcW w:w="1380" w:type="dxa"/>
            <w:vAlign w:val="bottom"/>
          </w:tcPr>
          <w:p>
            <w:pPr>
              <w:ind w:left="880"/>
              <w:spacing w:after="0" w:line="117" w:lineRule="exact"/>
              <w:rPr>
                <w:sz w:val="20"/>
                <w:szCs w:val="20"/>
                <w:color w:val="auto"/>
              </w:rPr>
            </w:pPr>
            <w:r>
              <w:rPr>
                <w:rFonts w:ascii="Times New Roman" w:cs="Times New Roman" w:eastAsia="Times New Roman" w:hAnsi="Times New Roman"/>
                <w:sz w:val="11"/>
                <w:szCs w:val="11"/>
                <w:color w:val="auto"/>
              </w:rPr>
              <w:t>000-50307</w:t>
            </w:r>
          </w:p>
        </w:tc>
        <w:tc>
          <w:tcPr>
            <w:tcW w:w="10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7/26/2022</w:t>
            </w:r>
          </w:p>
        </w:tc>
        <w:tc>
          <w:tcPr>
            <w:tcW w:w="80" w:type="dxa"/>
            <w:vAlign w:val="bottom"/>
          </w:tcPr>
          <w:p>
            <w:pPr>
              <w:spacing w:after="0"/>
              <w:rPr>
                <w:sz w:val="10"/>
                <w:szCs w:val="10"/>
                <w:color w:val="auto"/>
              </w:rPr>
            </w:pPr>
          </w:p>
        </w:tc>
        <w:tc>
          <w:tcPr>
            <w:tcW w:w="960" w:type="dxa"/>
            <w:vAlign w:val="bottom"/>
          </w:tcPr>
          <w:p>
            <w:pPr>
              <w:jc w:val="right"/>
              <w:ind w:right="3"/>
              <w:spacing w:after="0" w:line="117" w:lineRule="exact"/>
              <w:rPr>
                <w:sz w:val="20"/>
                <w:szCs w:val="20"/>
                <w:color w:val="auto"/>
              </w:rPr>
            </w:pPr>
            <w:r>
              <w:rPr>
                <w:rFonts w:ascii="Times New Roman" w:cs="Times New Roman" w:eastAsia="Times New Roman" w:hAnsi="Times New Roman"/>
                <w:sz w:val="11"/>
                <w:szCs w:val="11"/>
                <w:color w:val="auto"/>
              </w:rPr>
              <w:t>10.2</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Shahar and the Registrant</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140" w:type="dxa"/>
            <w:vAlign w:val="bottom"/>
            <w:gridSpan w:val="5"/>
            <w:shd w:val="clear" w:color="auto" w:fill="CCEEFF"/>
          </w:tcPr>
          <w:p>
            <w:pPr>
              <w:jc w:val="right"/>
              <w:spacing w:after="0" w:line="118" w:lineRule="exact"/>
              <w:rPr>
                <w:rFonts w:ascii="Times New Roman" w:cs="Times New Roman" w:eastAsia="Times New Roman" w:hAnsi="Times New Roman"/>
                <w:sz w:val="11"/>
                <w:szCs w:val="11"/>
                <w:color w:val="0000FF"/>
              </w:rPr>
            </w:pPr>
            <w:hyperlink r:id="rId91">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41</w:t>
              </w:r>
            </w:hyperlink>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1"/>
                <w:szCs w:val="11"/>
                <w:color w:val="auto"/>
              </w:rPr>
              <w:t>Share Purchase Agreement by and among Camtek, Ltd. as purchaser and FormFactor</w:t>
            </w:r>
          </w:p>
        </w:tc>
        <w:tc>
          <w:tcPr>
            <w:tcW w:w="980" w:type="dxa"/>
            <w:vAlign w:val="bottom"/>
            <w:gridSpan w:val="2"/>
            <w:shd w:val="clear" w:color="auto" w:fill="CCEEFF"/>
          </w:tcPr>
          <w:p>
            <w:pPr>
              <w:ind w:left="600"/>
              <w:spacing w:after="0" w:line="118" w:lineRule="exact"/>
              <w:rPr>
                <w:sz w:val="20"/>
                <w:szCs w:val="20"/>
                <w:color w:val="auto"/>
              </w:rPr>
            </w:pPr>
            <w:r>
              <w:rPr>
                <w:rFonts w:ascii="Times New Roman" w:cs="Times New Roman" w:eastAsia="Times New Roman" w:hAnsi="Times New Roman"/>
                <w:sz w:val="11"/>
                <w:szCs w:val="11"/>
                <w:color w:val="auto"/>
              </w:rPr>
              <w:t>10-Q</w:t>
            </w:r>
          </w:p>
        </w:tc>
        <w:tc>
          <w:tcPr>
            <w:tcW w:w="1380" w:type="dxa"/>
            <w:vAlign w:val="bottom"/>
            <w:shd w:val="clear" w:color="auto" w:fill="CCEEFF"/>
          </w:tcPr>
          <w:p>
            <w:pPr>
              <w:ind w:left="880"/>
              <w:spacing w:after="0" w:line="118" w:lineRule="exact"/>
              <w:rPr>
                <w:sz w:val="20"/>
                <w:szCs w:val="20"/>
                <w:color w:val="auto"/>
              </w:rPr>
            </w:pPr>
            <w:r>
              <w:rPr>
                <w:rFonts w:ascii="Times New Roman" w:cs="Times New Roman" w:eastAsia="Times New Roman" w:hAnsi="Times New Roman"/>
                <w:sz w:val="11"/>
                <w:szCs w:val="11"/>
                <w:color w:val="auto"/>
              </w:rPr>
              <w:t>000-50307</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11/7/2023</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1"/>
                <w:szCs w:val="11"/>
                <w:color w:val="auto"/>
              </w:rPr>
              <w:t>10.01</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8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14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4120" w:type="dxa"/>
            <w:vAlign w:val="bottom"/>
            <w:tcBorders>
              <w:top w:val="single" w:sz="8" w:color="CCEEFF"/>
            </w:tcBorders>
            <w:gridSpan w:val="2"/>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GmbH as seller and FormFactor, Inc as Parent and FRT GmbH as Company, dated as</w:t>
            </w:r>
          </w:p>
        </w:tc>
        <w:tc>
          <w:tcPr>
            <w:tcW w:w="8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3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of September 17, 2023</w:t>
            </w: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140" w:type="dxa"/>
            <w:vAlign w:val="bottom"/>
            <w:gridSpan w:val="5"/>
          </w:tcPr>
          <w:p>
            <w:pPr>
              <w:jc w:val="right"/>
              <w:spacing w:after="0" w:line="117" w:lineRule="exact"/>
              <w:rPr>
                <w:sz w:val="20"/>
                <w:szCs w:val="20"/>
                <w:color w:val="auto"/>
              </w:rPr>
            </w:pPr>
            <w:r>
              <w:rPr>
                <w:rFonts w:ascii="Times New Roman" w:cs="Times New Roman" w:eastAsia="Times New Roman" w:hAnsi="Times New Roman"/>
                <w:sz w:val="11"/>
                <w:szCs w:val="11"/>
                <w:color w:val="0000FF"/>
              </w:rPr>
              <w:t>21.</w:t>
            </w:r>
            <w:r>
              <w:rPr>
                <w:rFonts w:ascii="Times New Roman" w:cs="Times New Roman" w:eastAsia="Times New Roman" w:hAnsi="Times New Roman"/>
                <w:sz w:val="11"/>
                <w:szCs w:val="11"/>
                <w:u w:val="single" w:color="auto"/>
                <w:color w:val="0000FF"/>
              </w:rPr>
              <w:t>1</w:t>
            </w:r>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List of Registrant's subsidiaries</w:t>
            </w:r>
          </w:p>
        </w:tc>
        <w:tc>
          <w:tcPr>
            <w:tcW w:w="980" w:type="dxa"/>
            <w:vAlign w:val="bottom"/>
            <w:gridSpan w:val="2"/>
          </w:tcPr>
          <w:p>
            <w:pPr>
              <w:jc w:val="center"/>
              <w:ind w:left="463"/>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480" w:type="dxa"/>
            <w:vAlign w:val="bottom"/>
            <w:gridSpan w:val="2"/>
          </w:tcPr>
          <w:p>
            <w:pPr>
              <w:ind w:left="1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tcPr>
          <w:p>
            <w:pPr>
              <w:ind w:left="9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22"/>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140" w:type="dxa"/>
            <w:vAlign w:val="bottom"/>
            <w:gridSpan w:val="5"/>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0000FF"/>
              </w:rPr>
              <w:t>23.</w:t>
            </w:r>
            <w:r>
              <w:rPr>
                <w:rFonts w:ascii="Times New Roman" w:cs="Times New Roman" w:eastAsia="Times New Roman" w:hAnsi="Times New Roman"/>
                <w:sz w:val="11"/>
                <w:szCs w:val="11"/>
                <w:u w:val="single" w:color="auto"/>
                <w:color w:val="0000FF"/>
              </w:rPr>
              <w:t>1</w:t>
            </w:r>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Consent of Independent Registered Public Accounting Firm - KPMG LLP</w:t>
            </w:r>
          </w:p>
        </w:tc>
        <w:tc>
          <w:tcPr>
            <w:tcW w:w="980" w:type="dxa"/>
            <w:vAlign w:val="bottom"/>
            <w:gridSpan w:val="2"/>
            <w:shd w:val="clear" w:color="auto" w:fill="CCEEFF"/>
          </w:tcPr>
          <w:p>
            <w:pPr>
              <w:jc w:val="center"/>
              <w:ind w:left="463"/>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480" w:type="dxa"/>
            <w:vAlign w:val="bottom"/>
            <w:gridSpan w:val="2"/>
            <w:shd w:val="clear" w:color="auto" w:fill="CCEEFF"/>
          </w:tcPr>
          <w:p>
            <w:pPr>
              <w:ind w:left="1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shd w:val="clear" w:color="auto" w:fill="CCEEFF"/>
          </w:tcPr>
          <w:p>
            <w:pPr>
              <w:ind w:left="9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22"/>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140" w:type="dxa"/>
            <w:vAlign w:val="bottom"/>
            <w:gridSpan w:val="5"/>
          </w:tcPr>
          <w:p>
            <w:pPr>
              <w:jc w:val="right"/>
              <w:spacing w:after="0" w:line="117" w:lineRule="exact"/>
              <w:rPr>
                <w:sz w:val="20"/>
                <w:szCs w:val="20"/>
                <w:color w:val="auto"/>
              </w:rPr>
            </w:pPr>
            <w:r>
              <w:rPr>
                <w:rFonts w:ascii="Times New Roman" w:cs="Times New Roman" w:eastAsia="Times New Roman" w:hAnsi="Times New Roman"/>
                <w:sz w:val="11"/>
                <w:szCs w:val="11"/>
                <w:color w:val="0000FF"/>
              </w:rPr>
              <w:t>24.</w:t>
            </w:r>
            <w:r>
              <w:rPr>
                <w:rFonts w:ascii="Times New Roman" w:cs="Times New Roman" w:eastAsia="Times New Roman" w:hAnsi="Times New Roman"/>
                <w:sz w:val="11"/>
                <w:szCs w:val="11"/>
                <w:u w:val="single" w:color="auto"/>
                <w:color w:val="0000FF"/>
              </w:rPr>
              <w:t>1</w:t>
            </w:r>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Power of Attorney (included on the signature page of this Form 10-K)</w:t>
            </w:r>
          </w:p>
        </w:tc>
        <w:tc>
          <w:tcPr>
            <w:tcW w:w="980" w:type="dxa"/>
            <w:vAlign w:val="bottom"/>
            <w:gridSpan w:val="2"/>
          </w:tcPr>
          <w:p>
            <w:pPr>
              <w:jc w:val="center"/>
              <w:ind w:left="463"/>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480" w:type="dxa"/>
            <w:vAlign w:val="bottom"/>
            <w:gridSpan w:val="2"/>
          </w:tcPr>
          <w:p>
            <w:pPr>
              <w:ind w:left="1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tcPr>
          <w:p>
            <w:pPr>
              <w:ind w:left="9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22"/>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140" w:type="dxa"/>
            <w:vAlign w:val="bottom"/>
            <w:gridSpan w:val="5"/>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0000FF"/>
              </w:rPr>
              <w:t>31.</w:t>
            </w:r>
            <w:r>
              <w:rPr>
                <w:rFonts w:ascii="Times New Roman" w:cs="Times New Roman" w:eastAsia="Times New Roman" w:hAnsi="Times New Roman"/>
                <w:sz w:val="11"/>
                <w:szCs w:val="11"/>
                <w:u w:val="single" w:color="auto"/>
                <w:color w:val="0000FF"/>
              </w:rPr>
              <w:t>1</w:t>
            </w:r>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Certification of Chief Executive Officer pursuant to 15 U.S.C. Section 7241, as</w:t>
            </w:r>
          </w:p>
        </w:tc>
        <w:tc>
          <w:tcPr>
            <w:tcW w:w="980" w:type="dxa"/>
            <w:vAlign w:val="bottom"/>
            <w:gridSpan w:val="2"/>
            <w:shd w:val="clear" w:color="auto" w:fill="CCEEFF"/>
          </w:tcPr>
          <w:p>
            <w:pPr>
              <w:jc w:val="center"/>
              <w:ind w:left="463"/>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480" w:type="dxa"/>
            <w:vAlign w:val="bottom"/>
            <w:gridSpan w:val="2"/>
            <w:shd w:val="clear" w:color="auto" w:fill="CCEEFF"/>
          </w:tcPr>
          <w:p>
            <w:pPr>
              <w:ind w:left="1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shd w:val="clear" w:color="auto" w:fill="CCEEFF"/>
          </w:tcPr>
          <w:p>
            <w:pPr>
              <w:ind w:left="9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29"/>
        </w:trPr>
        <w:tc>
          <w:tcPr>
            <w:tcW w:w="8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adopted pursuant to Section 302 of the Sarbanes-Oxley Act of 2002</w:t>
            </w:r>
          </w:p>
        </w:tc>
        <w:tc>
          <w:tcPr>
            <w:tcW w:w="8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140" w:type="dxa"/>
            <w:vAlign w:val="bottom"/>
            <w:gridSpan w:val="5"/>
          </w:tcPr>
          <w:p>
            <w:pPr>
              <w:jc w:val="right"/>
              <w:spacing w:after="0" w:line="117" w:lineRule="exact"/>
              <w:rPr>
                <w:sz w:val="20"/>
                <w:szCs w:val="20"/>
                <w:color w:val="auto"/>
              </w:rPr>
            </w:pPr>
            <w:r>
              <w:rPr>
                <w:rFonts w:ascii="Times New Roman" w:cs="Times New Roman" w:eastAsia="Times New Roman" w:hAnsi="Times New Roman"/>
                <w:sz w:val="11"/>
                <w:szCs w:val="11"/>
                <w:color w:val="0000FF"/>
              </w:rPr>
              <w:t>31.</w:t>
            </w:r>
            <w:r>
              <w:rPr>
                <w:rFonts w:ascii="Times New Roman" w:cs="Times New Roman" w:eastAsia="Times New Roman" w:hAnsi="Times New Roman"/>
                <w:sz w:val="11"/>
                <w:szCs w:val="11"/>
                <w:u w:val="single" w:color="auto"/>
                <w:color w:val="0000FF"/>
              </w:rPr>
              <w:t>2</w:t>
            </w:r>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Certification of Chief Financial Officer pursuant to 15 U.S.C. Section 7241, as</w:t>
            </w:r>
          </w:p>
        </w:tc>
        <w:tc>
          <w:tcPr>
            <w:tcW w:w="980" w:type="dxa"/>
            <w:vAlign w:val="bottom"/>
            <w:gridSpan w:val="2"/>
          </w:tcPr>
          <w:p>
            <w:pPr>
              <w:jc w:val="center"/>
              <w:ind w:left="463"/>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480" w:type="dxa"/>
            <w:vAlign w:val="bottom"/>
            <w:gridSpan w:val="2"/>
          </w:tcPr>
          <w:p>
            <w:pPr>
              <w:ind w:left="1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tcPr>
          <w:p>
            <w:pPr>
              <w:ind w:left="9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adopted pursuant to Section 302 of the Sarbanes-Oxley Act of 2002</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140" w:type="dxa"/>
            <w:vAlign w:val="bottom"/>
            <w:gridSpan w:val="5"/>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0000FF"/>
              </w:rPr>
              <w:t>32.</w:t>
            </w:r>
            <w:r>
              <w:rPr>
                <w:rFonts w:ascii="Times New Roman" w:cs="Times New Roman" w:eastAsia="Times New Roman" w:hAnsi="Times New Roman"/>
                <w:sz w:val="11"/>
                <w:szCs w:val="11"/>
                <w:u w:val="single" w:color="auto"/>
                <w:color w:val="0000FF"/>
              </w:rPr>
              <w:t>1</w:t>
            </w:r>
            <w:r>
              <w:rPr>
                <w:rFonts w:ascii="Times New Roman" w:cs="Times New Roman" w:eastAsia="Times New Roman" w:hAnsi="Times New Roman"/>
                <w:sz w:val="11"/>
                <w:szCs w:val="11"/>
                <w:color w:val="000000"/>
              </w:rPr>
              <w:t>*</w:t>
            </w:r>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1"/>
                <w:szCs w:val="11"/>
                <w:color w:val="auto"/>
              </w:rPr>
              <w:t>Certification of Chief Executive Officer and Chief Financial Officer pursuant to</w:t>
            </w:r>
          </w:p>
        </w:tc>
        <w:tc>
          <w:tcPr>
            <w:tcW w:w="980" w:type="dxa"/>
            <w:vAlign w:val="bottom"/>
            <w:gridSpan w:val="2"/>
            <w:shd w:val="clear" w:color="auto" w:fill="CCEEFF"/>
          </w:tcPr>
          <w:p>
            <w:pPr>
              <w:jc w:val="center"/>
              <w:ind w:left="463"/>
              <w:spacing w:after="0" w:line="118" w:lineRule="exact"/>
              <w:rPr>
                <w:sz w:val="20"/>
                <w:szCs w:val="20"/>
                <w:color w:val="auto"/>
              </w:rPr>
            </w:pPr>
            <w:r>
              <w:rPr>
                <w:rFonts w:ascii="Times New Roman" w:cs="Times New Roman" w:eastAsia="Times New Roman" w:hAnsi="Times New Roman"/>
                <w:sz w:val="11"/>
                <w:szCs w:val="11"/>
                <w:color w:val="auto"/>
                <w:w w:val="90"/>
              </w:rPr>
              <w:t>—</w:t>
            </w:r>
          </w:p>
        </w:tc>
        <w:tc>
          <w:tcPr>
            <w:tcW w:w="1480" w:type="dxa"/>
            <w:vAlign w:val="bottom"/>
            <w:gridSpan w:val="2"/>
            <w:shd w:val="clear" w:color="auto" w:fill="CCEEFF"/>
          </w:tcPr>
          <w:p>
            <w:pPr>
              <w:ind w:left="1220"/>
              <w:spacing w:after="0" w:line="118"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shd w:val="clear" w:color="auto" w:fill="CCEEFF"/>
          </w:tcPr>
          <w:p>
            <w:pPr>
              <w:ind w:left="960"/>
              <w:spacing w:after="0" w:line="118"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jc w:val="right"/>
              <w:ind w:right="14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86"/>
        </w:trPr>
        <w:tc>
          <w:tcPr>
            <w:tcW w:w="8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14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4120" w:type="dxa"/>
            <w:vAlign w:val="bottom"/>
            <w:tcBorders>
              <w:top w:val="single" w:sz="8" w:color="CCEEFF"/>
            </w:tcBorders>
            <w:gridSpan w:val="2"/>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18 U.S.C. Section 1350, as adopted pursuant to Section 906 of the Sarbanes-Oxley Act</w:t>
            </w:r>
          </w:p>
        </w:tc>
        <w:tc>
          <w:tcPr>
            <w:tcW w:w="8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3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of 2002</w:t>
            </w: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140" w:type="dxa"/>
            <w:vAlign w:val="bottom"/>
            <w:gridSpan w:val="5"/>
          </w:tcPr>
          <w:p>
            <w:pPr>
              <w:jc w:val="right"/>
              <w:spacing w:after="0" w:line="117" w:lineRule="exact"/>
              <w:rPr>
                <w:sz w:val="20"/>
                <w:szCs w:val="20"/>
                <w:color w:val="auto"/>
              </w:rPr>
            </w:pPr>
            <w:r>
              <w:rPr>
                <w:rFonts w:ascii="Times New Roman" w:cs="Times New Roman" w:eastAsia="Times New Roman" w:hAnsi="Times New Roman"/>
                <w:sz w:val="11"/>
                <w:szCs w:val="11"/>
                <w:color w:val="0000FF"/>
              </w:rPr>
              <w:t>97.</w:t>
            </w:r>
            <w:r>
              <w:rPr>
                <w:rFonts w:ascii="Times New Roman" w:cs="Times New Roman" w:eastAsia="Times New Roman" w:hAnsi="Times New Roman"/>
                <w:sz w:val="11"/>
                <w:szCs w:val="11"/>
                <w:u w:val="single" w:color="auto"/>
                <w:color w:val="0000FF"/>
              </w:rPr>
              <w:t>1</w:t>
            </w:r>
          </w:p>
        </w:tc>
        <w:tc>
          <w:tcPr>
            <w:tcW w:w="140" w:type="dxa"/>
            <w:vAlign w:val="bottom"/>
          </w:tcPr>
          <w:p>
            <w:pPr>
              <w:spacing w:after="0"/>
              <w:rPr>
                <w:sz w:val="10"/>
                <w:szCs w:val="10"/>
                <w:color w:val="auto"/>
              </w:rPr>
            </w:pPr>
          </w:p>
        </w:tc>
        <w:tc>
          <w:tcPr>
            <w:tcW w:w="4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Incentive Compensation Clawback Policy, effective October 2, 2023</w:t>
            </w:r>
          </w:p>
        </w:tc>
        <w:tc>
          <w:tcPr>
            <w:tcW w:w="980" w:type="dxa"/>
            <w:vAlign w:val="bottom"/>
            <w:gridSpan w:val="2"/>
          </w:tcPr>
          <w:p>
            <w:pPr>
              <w:jc w:val="center"/>
              <w:ind w:left="463"/>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1480" w:type="dxa"/>
            <w:vAlign w:val="bottom"/>
            <w:gridSpan w:val="2"/>
          </w:tcPr>
          <w:p>
            <w:pPr>
              <w:ind w:left="1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tcPr>
          <w:p>
            <w:pPr>
              <w:ind w:left="9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22"/>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140" w:type="dxa"/>
            <w:vAlign w:val="bottom"/>
            <w:gridSpan w:val="5"/>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101**</w:t>
            </w:r>
          </w:p>
        </w:tc>
        <w:tc>
          <w:tcPr>
            <w:tcW w:w="140" w:type="dxa"/>
            <w:vAlign w:val="bottom"/>
            <w:shd w:val="clear" w:color="auto" w:fill="CCEEFF"/>
          </w:tcPr>
          <w:p>
            <w:pPr>
              <w:spacing w:after="0"/>
              <w:rPr>
                <w:sz w:val="9"/>
                <w:szCs w:val="9"/>
                <w:color w:val="auto"/>
              </w:rPr>
            </w:pPr>
          </w:p>
        </w:tc>
        <w:tc>
          <w:tcPr>
            <w:tcW w:w="4120" w:type="dxa"/>
            <w:vAlign w:val="bottom"/>
            <w:gridSpan w:val="2"/>
            <w:shd w:val="clear" w:color="auto" w:fill="CCEEFF"/>
          </w:tcPr>
          <w:p>
            <w:pPr>
              <w:ind w:left="20"/>
              <w:spacing w:after="0" w:line="110" w:lineRule="exact"/>
              <w:rPr>
                <w:sz w:val="20"/>
                <w:szCs w:val="20"/>
                <w:color w:val="auto"/>
              </w:rPr>
            </w:pPr>
            <w:r>
              <w:rPr>
                <w:rFonts w:ascii="Times New Roman" w:cs="Times New Roman" w:eastAsia="Times New Roman" w:hAnsi="Times New Roman"/>
                <w:sz w:val="11"/>
                <w:szCs w:val="11"/>
                <w:color w:val="auto"/>
              </w:rPr>
              <w:t>The following financial statements from the Company’s Annual Report on Form 10-K</w:t>
            </w:r>
          </w:p>
        </w:tc>
        <w:tc>
          <w:tcPr>
            <w:tcW w:w="980" w:type="dxa"/>
            <w:vAlign w:val="bottom"/>
            <w:gridSpan w:val="2"/>
            <w:shd w:val="clear" w:color="auto" w:fill="CCEEFF"/>
          </w:tcPr>
          <w:p>
            <w:pPr>
              <w:jc w:val="center"/>
              <w:ind w:left="463"/>
              <w:spacing w:after="0" w:line="110" w:lineRule="exact"/>
              <w:rPr>
                <w:sz w:val="20"/>
                <w:szCs w:val="20"/>
                <w:color w:val="auto"/>
              </w:rPr>
            </w:pPr>
            <w:r>
              <w:rPr>
                <w:rFonts w:ascii="Times New Roman" w:cs="Times New Roman" w:eastAsia="Times New Roman" w:hAnsi="Times New Roman"/>
                <w:sz w:val="11"/>
                <w:szCs w:val="11"/>
                <w:color w:val="auto"/>
                <w:w w:val="90"/>
              </w:rPr>
              <w:t>—</w:t>
            </w:r>
          </w:p>
        </w:tc>
        <w:tc>
          <w:tcPr>
            <w:tcW w:w="1480" w:type="dxa"/>
            <w:vAlign w:val="bottom"/>
            <w:gridSpan w:val="2"/>
            <w:shd w:val="clear" w:color="auto" w:fill="CCEEFF"/>
          </w:tcPr>
          <w:p>
            <w:pPr>
              <w:ind w:left="122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shd w:val="clear" w:color="auto" w:fill="CCEEFF"/>
          </w:tcPr>
          <w:p>
            <w:pPr>
              <w:ind w:left="9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jc w:val="right"/>
              <w:ind w:right="140"/>
              <w:spacing w:after="0" w:line="110"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center"/>
              <w:spacing w:after="0" w:line="110"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13"/>
        </w:trPr>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120" w:type="dxa"/>
            <w:vAlign w:val="bottom"/>
            <w:gridSpan w:val="2"/>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for the year ended December 30, 2023, formatted in Inline XBRL: (i) Consolidated</w:t>
            </w: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120" w:type="dxa"/>
            <w:vAlign w:val="bottom"/>
            <w:gridSpan w:val="2"/>
            <w:shd w:val="clear" w:color="auto" w:fill="CCEEFF"/>
          </w:tcPr>
          <w:p>
            <w:pPr>
              <w:ind w:left="20"/>
              <w:spacing w:after="0" w:line="110" w:lineRule="exact"/>
              <w:rPr>
                <w:sz w:val="20"/>
                <w:szCs w:val="20"/>
                <w:color w:val="auto"/>
              </w:rPr>
            </w:pPr>
            <w:r>
              <w:rPr>
                <w:rFonts w:ascii="Times New Roman" w:cs="Times New Roman" w:eastAsia="Times New Roman" w:hAnsi="Times New Roman"/>
                <w:sz w:val="11"/>
                <w:szCs w:val="11"/>
                <w:color w:val="auto"/>
              </w:rPr>
              <w:t>Balance Sheets, (ii) Consolidated Statements of Income, (iii) Consolidated Statements</w:t>
            </w: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of Comprehensive Income, (iv) Consolidated Statements of Cash Flows, and (v) Notes</w:t>
            </w: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120" w:type="dxa"/>
            <w:vAlign w:val="bottom"/>
            <w:gridSpan w:val="2"/>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to Consolidated Financial Statements, tagged as blocks of text and including detailed</w:t>
            </w: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tags.</w:t>
            </w: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80" w:type="dxa"/>
            <w:vAlign w:val="bottom"/>
            <w:gridSpan w:val="6"/>
          </w:tcPr>
          <w:p>
            <w:pPr>
              <w:jc w:val="right"/>
              <w:ind w:right="140"/>
              <w:spacing w:after="0"/>
              <w:rPr>
                <w:sz w:val="20"/>
                <w:szCs w:val="20"/>
                <w:color w:val="auto"/>
              </w:rPr>
            </w:pPr>
            <w:r>
              <w:rPr>
                <w:rFonts w:ascii="Times New Roman" w:cs="Times New Roman" w:eastAsia="Times New Roman" w:hAnsi="Times New Roman"/>
                <w:sz w:val="11"/>
                <w:szCs w:val="11"/>
                <w:color w:val="auto"/>
              </w:rPr>
              <w:t>101.SCH**</w:t>
            </w: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XBRL Taxonomy Extension Schema Document</w:t>
            </w:r>
          </w:p>
        </w:tc>
        <w:tc>
          <w:tcPr>
            <w:tcW w:w="980" w:type="dxa"/>
            <w:vAlign w:val="bottom"/>
            <w:gridSpan w:val="2"/>
          </w:tcPr>
          <w:p>
            <w:pPr>
              <w:jc w:val="center"/>
              <w:ind w:left="463"/>
              <w:spacing w:after="0"/>
              <w:rPr>
                <w:sz w:val="20"/>
                <w:szCs w:val="20"/>
                <w:color w:val="auto"/>
              </w:rPr>
            </w:pPr>
            <w:r>
              <w:rPr>
                <w:rFonts w:ascii="Times New Roman" w:cs="Times New Roman" w:eastAsia="Times New Roman" w:hAnsi="Times New Roman"/>
                <w:sz w:val="11"/>
                <w:szCs w:val="11"/>
                <w:color w:val="auto"/>
                <w:w w:val="90"/>
              </w:rPr>
              <w:t>—</w:t>
            </w:r>
          </w:p>
        </w:tc>
        <w:tc>
          <w:tcPr>
            <w:tcW w:w="1480" w:type="dxa"/>
            <w:vAlign w:val="bottom"/>
            <w:gridSpan w:val="2"/>
          </w:tcPr>
          <w:p>
            <w:pPr>
              <w:ind w:left="122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65"/>
        </w:trPr>
        <w:tc>
          <w:tcPr>
            <w:tcW w:w="128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101.CAL**</w:t>
            </w: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XBRL Taxonomy Extension Calculation Linkbase Document</w:t>
            </w:r>
          </w:p>
        </w:tc>
        <w:tc>
          <w:tcPr>
            <w:tcW w:w="980" w:type="dxa"/>
            <w:vAlign w:val="bottom"/>
            <w:gridSpan w:val="2"/>
            <w:shd w:val="clear" w:color="auto" w:fill="CCEEFF"/>
          </w:tcPr>
          <w:p>
            <w:pPr>
              <w:jc w:val="center"/>
              <w:ind w:left="463"/>
              <w:spacing w:after="0"/>
              <w:rPr>
                <w:sz w:val="20"/>
                <w:szCs w:val="20"/>
                <w:color w:val="auto"/>
              </w:rPr>
            </w:pPr>
            <w:r>
              <w:rPr>
                <w:rFonts w:ascii="Times New Roman" w:cs="Times New Roman" w:eastAsia="Times New Roman" w:hAnsi="Times New Roman"/>
                <w:sz w:val="11"/>
                <w:szCs w:val="11"/>
                <w:color w:val="auto"/>
                <w:w w:val="90"/>
              </w:rPr>
              <w:t>—</w:t>
            </w:r>
          </w:p>
        </w:tc>
        <w:tc>
          <w:tcPr>
            <w:tcW w:w="14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53"/>
        </w:trPr>
        <w:tc>
          <w:tcPr>
            <w:tcW w:w="1280" w:type="dxa"/>
            <w:vAlign w:val="bottom"/>
            <w:gridSpan w:val="6"/>
          </w:tcPr>
          <w:p>
            <w:pPr>
              <w:jc w:val="right"/>
              <w:ind w:right="140"/>
              <w:spacing w:after="0"/>
              <w:rPr>
                <w:sz w:val="20"/>
                <w:szCs w:val="20"/>
                <w:color w:val="auto"/>
              </w:rPr>
            </w:pPr>
            <w:r>
              <w:rPr>
                <w:rFonts w:ascii="Times New Roman" w:cs="Times New Roman" w:eastAsia="Times New Roman" w:hAnsi="Times New Roman"/>
                <w:sz w:val="11"/>
                <w:szCs w:val="11"/>
                <w:color w:val="auto"/>
              </w:rPr>
              <w:t>101.DEF**</w:t>
            </w: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XBRL Taxonomy Extension Definition Linkbase Document</w:t>
            </w:r>
          </w:p>
        </w:tc>
        <w:tc>
          <w:tcPr>
            <w:tcW w:w="980" w:type="dxa"/>
            <w:vAlign w:val="bottom"/>
            <w:gridSpan w:val="2"/>
          </w:tcPr>
          <w:p>
            <w:pPr>
              <w:jc w:val="center"/>
              <w:ind w:left="463"/>
              <w:spacing w:after="0"/>
              <w:rPr>
                <w:sz w:val="20"/>
                <w:szCs w:val="20"/>
                <w:color w:val="auto"/>
              </w:rPr>
            </w:pPr>
            <w:r>
              <w:rPr>
                <w:rFonts w:ascii="Times New Roman" w:cs="Times New Roman" w:eastAsia="Times New Roman" w:hAnsi="Times New Roman"/>
                <w:sz w:val="11"/>
                <w:szCs w:val="11"/>
                <w:color w:val="auto"/>
                <w:w w:val="90"/>
              </w:rPr>
              <w:t>—</w:t>
            </w:r>
          </w:p>
        </w:tc>
        <w:tc>
          <w:tcPr>
            <w:tcW w:w="1480" w:type="dxa"/>
            <w:vAlign w:val="bottom"/>
            <w:gridSpan w:val="2"/>
          </w:tcPr>
          <w:p>
            <w:pPr>
              <w:ind w:left="122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65"/>
        </w:trPr>
        <w:tc>
          <w:tcPr>
            <w:tcW w:w="128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101.LAB**</w:t>
            </w: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XBRL Taxonomy Extension Label Linkbase Document</w:t>
            </w:r>
          </w:p>
        </w:tc>
        <w:tc>
          <w:tcPr>
            <w:tcW w:w="980" w:type="dxa"/>
            <w:vAlign w:val="bottom"/>
            <w:gridSpan w:val="2"/>
            <w:shd w:val="clear" w:color="auto" w:fill="CCEEFF"/>
          </w:tcPr>
          <w:p>
            <w:pPr>
              <w:jc w:val="center"/>
              <w:ind w:left="463"/>
              <w:spacing w:after="0"/>
              <w:rPr>
                <w:sz w:val="20"/>
                <w:szCs w:val="20"/>
                <w:color w:val="auto"/>
              </w:rPr>
            </w:pPr>
            <w:r>
              <w:rPr>
                <w:rFonts w:ascii="Times New Roman" w:cs="Times New Roman" w:eastAsia="Times New Roman" w:hAnsi="Times New Roman"/>
                <w:sz w:val="11"/>
                <w:szCs w:val="11"/>
                <w:color w:val="auto"/>
                <w:w w:val="90"/>
              </w:rPr>
              <w:t>—</w:t>
            </w:r>
          </w:p>
        </w:tc>
        <w:tc>
          <w:tcPr>
            <w:tcW w:w="14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bl>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0"/>
          </w:cols>
          <w:pgMar w:left="460" w:top="916" w:right="479" w:bottom="1440" w:gutter="0" w:footer="0" w:header="0"/>
        </w:sectPr>
      </w:pPr>
    </w:p>
    <w:bookmarkStart w:id="44" w:name="page45"/>
    <w:bookmarkEnd w:id="44"/>
    <w:tbl>
      <w:tblPr>
        <w:tblLayout w:type="fixed"/>
        <w:tblInd w:w="16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28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Exhibit</w:t>
            </w:r>
          </w:p>
        </w:tc>
        <w:tc>
          <w:tcPr>
            <w:tcW w:w="412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9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040" w:type="dxa"/>
            <w:vAlign w:val="bottom"/>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left="163"/>
              <w:spacing w:after="0" w:line="108" w:lineRule="exact"/>
              <w:rPr>
                <w:sz w:val="20"/>
                <w:szCs w:val="20"/>
                <w:color w:val="auto"/>
              </w:rPr>
            </w:pPr>
            <w:r>
              <w:rPr>
                <w:rFonts w:ascii="Times New Roman" w:cs="Times New Roman" w:eastAsia="Times New Roman" w:hAnsi="Times New Roman"/>
                <w:sz w:val="11"/>
                <w:szCs w:val="11"/>
                <w:b w:val="1"/>
                <w:bCs w:val="1"/>
                <w:color w:val="auto"/>
              </w:rPr>
              <w:t>Date of</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ind w:left="163"/>
              <w:spacing w:after="0" w:line="108" w:lineRule="exact"/>
              <w:rPr>
                <w:sz w:val="20"/>
                <w:szCs w:val="20"/>
                <w:color w:val="auto"/>
              </w:rPr>
            </w:pPr>
            <w:r>
              <w:rPr>
                <w:rFonts w:ascii="Times New Roman" w:cs="Times New Roman" w:eastAsia="Times New Roman" w:hAnsi="Times New Roman"/>
                <w:sz w:val="11"/>
                <w:szCs w:val="11"/>
                <w:b w:val="1"/>
                <w:bCs w:val="1"/>
                <w:color w:val="auto"/>
              </w:rPr>
              <w:t>Exhibit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53"/>
        </w:trPr>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12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First Filing</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left="163"/>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Herewith</w:t>
            </w:r>
          </w:p>
        </w:tc>
        <w:tc>
          <w:tcPr>
            <w:tcW w:w="0" w:type="dxa"/>
            <w:vAlign w:val="bottom"/>
          </w:tcPr>
          <w:p>
            <w:pPr>
              <w:spacing w:after="0"/>
              <w:rPr>
                <w:sz w:val="1"/>
                <w:szCs w:val="1"/>
                <w:color w:val="auto"/>
              </w:rPr>
            </w:pPr>
          </w:p>
        </w:tc>
      </w:tr>
      <w:tr>
        <w:trPr>
          <w:trHeight w:val="148"/>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101.PRE**</w:t>
            </w:r>
          </w:p>
        </w:tc>
        <w:tc>
          <w:tcPr>
            <w:tcW w:w="140" w:type="dxa"/>
            <w:vAlign w:val="bottom"/>
          </w:tcPr>
          <w:p>
            <w:pPr>
              <w:spacing w:after="0"/>
              <w:rPr>
                <w:sz w:val="12"/>
                <w:szCs w:val="12"/>
                <w:color w:val="auto"/>
              </w:rPr>
            </w:pP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XBRL Taxonomy Extension Presentation Linkbase Document</w:t>
            </w:r>
          </w:p>
        </w:tc>
        <w:tc>
          <w:tcPr>
            <w:tcW w:w="160" w:type="dxa"/>
            <w:vAlign w:val="bottom"/>
          </w:tcPr>
          <w:p>
            <w:pPr>
              <w:spacing w:after="0"/>
              <w:rPr>
                <w:sz w:val="12"/>
                <w:szCs w:val="12"/>
                <w:color w:val="auto"/>
              </w:rPr>
            </w:pPr>
          </w:p>
        </w:tc>
        <w:tc>
          <w:tcPr>
            <w:tcW w:w="8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16"/>
        </w:trPr>
        <w:tc>
          <w:tcPr>
            <w:tcW w:w="11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104</w:t>
            </w:r>
          </w:p>
        </w:tc>
        <w:tc>
          <w:tcPr>
            <w:tcW w:w="140" w:type="dxa"/>
            <w:vAlign w:val="bottom"/>
            <w:shd w:val="clear" w:color="auto" w:fill="CCEEFF"/>
          </w:tcPr>
          <w:p>
            <w:pPr>
              <w:spacing w:after="0"/>
              <w:rPr>
                <w:sz w:val="10"/>
                <w:szCs w:val="10"/>
                <w:color w:val="auto"/>
              </w:rPr>
            </w:pPr>
          </w:p>
        </w:tc>
        <w:tc>
          <w:tcPr>
            <w:tcW w:w="4120" w:type="dxa"/>
            <w:vAlign w:val="bottom"/>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The cover page from the Company’s Annual Report on Form 10-K for the year ended</w:t>
            </w:r>
          </w:p>
        </w:tc>
        <w:tc>
          <w:tcPr>
            <w:tcW w:w="980" w:type="dxa"/>
            <w:vAlign w:val="bottom"/>
            <w:gridSpan w:val="2"/>
            <w:shd w:val="clear" w:color="auto" w:fill="CCEEFF"/>
          </w:tcPr>
          <w:p>
            <w:pPr>
              <w:ind w:left="700"/>
              <w:spacing w:after="0" w:line="116"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ind w:left="180"/>
              <w:spacing w:after="0" w:line="116"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3"/>
            <w:shd w:val="clear" w:color="auto" w:fill="CCEEFF"/>
          </w:tcPr>
          <w:p>
            <w:pPr>
              <w:ind w:left="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CEEFF"/>
          </w:tcPr>
          <w:p>
            <w:pPr>
              <w:ind w:left="40"/>
              <w:spacing w:after="0" w:line="116"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center"/>
              <w:spacing w:after="0" w:line="116"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55"/>
        </w:trPr>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30, 2023, formatted in Inline XBRL (included as Exhibit 101).</w:t>
            </w: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520" w:hanging="515"/>
        <w:spacing w:after="0" w:line="260" w:lineRule="auto"/>
        <w:tabs>
          <w:tab w:leader="none" w:pos="194"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exhibit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whether made before or after the date hereof and irrespective of any general incorporation language in any filings.</w:t>
      </w:r>
    </w:p>
    <w:p>
      <w:pPr>
        <w:ind w:left="240" w:hanging="235"/>
        <w:spacing w:after="0"/>
        <w:tabs>
          <w:tab w:leader="none" w:pos="24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Pursuant to Rule 406T of Regulation S-T, these interactive data files are deemed not filed or part of a registration statement or prospectus for purposes of Sections 11 or 12 of the Securities Act of 1933 or Section 18 of the Securities Exchange</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1"/>
          <w:szCs w:val="11"/>
          <w:color w:val="auto"/>
        </w:rPr>
        <w:t>Act of 1934 and otherwise are not subject to liability.</w:t>
      </w:r>
    </w:p>
    <w:p>
      <w:pPr>
        <w:spacing w:after="0" w:line="11" w:lineRule="exact"/>
        <w:rPr>
          <w:sz w:val="20"/>
          <w:szCs w:val="20"/>
          <w:color w:val="auto"/>
        </w:rPr>
      </w:pPr>
    </w:p>
    <w:p>
      <w:pPr>
        <w:ind w:left="180" w:hanging="175"/>
        <w:spacing w:after="0"/>
        <w:tabs>
          <w:tab w:leader="none" w:pos="18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Indicates a management contract or compensatory plan or arrangement.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6"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80"/>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40" w:type="dxa"/>
            <w:vAlign w:val="bottom"/>
            <w:gridSpan w:val="2"/>
          </w:tcPr>
          <w:p>
            <w:pPr>
              <w:ind w:left="1380"/>
              <w:spacing w:after="0"/>
              <w:rPr>
                <w:sz w:val="20"/>
                <w:szCs w:val="20"/>
                <w:color w:val="auto"/>
              </w:rPr>
            </w:pPr>
            <w:r>
              <w:rPr>
                <w:rFonts w:ascii="Times New Roman" w:cs="Times New Roman" w:eastAsia="Times New Roman" w:hAnsi="Times New Roman"/>
                <w:sz w:val="14"/>
                <w:szCs w:val="14"/>
                <w:color w:val="auto"/>
              </w:rPr>
              <w:t>FORMFACTOR, INC.</w:t>
            </w:r>
          </w:p>
        </w:tc>
        <w:tc>
          <w:tcPr>
            <w:tcW w:w="3860" w:type="dxa"/>
            <w:vAlign w:val="bottom"/>
          </w:tcPr>
          <w:p>
            <w:pPr>
              <w:spacing w:after="0"/>
              <w:rPr>
                <w:sz w:val="15"/>
                <w:szCs w:val="15"/>
                <w:color w:val="auto"/>
              </w:rPr>
            </w:pPr>
          </w:p>
        </w:tc>
      </w:tr>
      <w:tr>
        <w:trPr>
          <w:trHeight w:val="184"/>
        </w:trPr>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23, 2024</w:t>
            </w:r>
          </w:p>
        </w:tc>
        <w:tc>
          <w:tcPr>
            <w:tcW w:w="3440" w:type="dxa"/>
            <w:vAlign w:val="bottom"/>
            <w:gridSpan w:val="2"/>
          </w:tcPr>
          <w:p>
            <w:pPr>
              <w:ind w:left="1380"/>
              <w:spacing w:after="0"/>
              <w:rPr>
                <w:sz w:val="20"/>
                <w:szCs w:val="20"/>
                <w:color w:val="auto"/>
              </w:rPr>
            </w:pPr>
            <w:r>
              <w:rPr>
                <w:rFonts w:ascii="Times New Roman" w:cs="Times New Roman" w:eastAsia="Times New Roman" w:hAnsi="Times New Roman"/>
                <w:sz w:val="14"/>
                <w:szCs w:val="14"/>
                <w:color w:val="auto"/>
              </w:rPr>
              <w:t>By:</w:t>
            </w:r>
          </w:p>
        </w:tc>
        <w:tc>
          <w:tcPr>
            <w:tcW w:w="3860" w:type="dxa"/>
            <w:vAlign w:val="bottom"/>
          </w:tcPr>
          <w:p>
            <w:pPr>
              <w:jc w:val="center"/>
              <w:ind w:right="909"/>
              <w:spacing w:after="0"/>
              <w:rPr>
                <w:sz w:val="20"/>
                <w:szCs w:val="20"/>
                <w:color w:val="auto"/>
              </w:rPr>
            </w:pPr>
            <w:r>
              <w:rPr>
                <w:rFonts w:ascii="Times New Roman" w:cs="Times New Roman" w:eastAsia="Times New Roman" w:hAnsi="Times New Roman"/>
                <w:sz w:val="14"/>
                <w:szCs w:val="14"/>
                <w:color w:val="auto"/>
              </w:rPr>
              <w:t>/s/ SHAI SHAHAR</w:t>
            </w:r>
          </w:p>
        </w:tc>
      </w:tr>
      <w:tr>
        <w:trPr>
          <w:trHeight w:val="129"/>
        </w:trPr>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860" w:type="dxa"/>
            <w:vAlign w:val="bottom"/>
            <w:tcBorders>
              <w:top w:val="single" w:sz="8" w:color="auto"/>
            </w:tcBorders>
          </w:tcPr>
          <w:p>
            <w:pPr>
              <w:jc w:val="center"/>
              <w:ind w:right="909"/>
              <w:spacing w:after="0" w:line="129" w:lineRule="exact"/>
              <w:rPr>
                <w:sz w:val="20"/>
                <w:szCs w:val="20"/>
                <w:color w:val="auto"/>
              </w:rPr>
            </w:pPr>
            <w:r>
              <w:rPr>
                <w:rFonts w:ascii="Times New Roman" w:cs="Times New Roman" w:eastAsia="Times New Roman" w:hAnsi="Times New Roman"/>
                <w:sz w:val="14"/>
                <w:szCs w:val="14"/>
                <w:color w:val="auto"/>
              </w:rPr>
              <w:t>Shai Shahar</w:t>
            </w:r>
          </w:p>
        </w:tc>
      </w:tr>
      <w:tr>
        <w:trPr>
          <w:trHeight w:val="186"/>
        </w:trPr>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60" w:type="dxa"/>
            <w:vAlign w:val="bottom"/>
          </w:tcPr>
          <w:p>
            <w:pPr>
              <w:jc w:val="center"/>
              <w:ind w:right="909"/>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r>
    </w:tbl>
    <w:p>
      <w:pPr>
        <w:spacing w:after="0" w:line="2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p>
      <w:pPr>
        <w:ind w:left="2380"/>
        <w:spacing w:after="0"/>
        <w:tabs>
          <w:tab w:leader="none" w:pos="6860" w:val="left"/>
          <w:tab w:leader="none" w:pos="10220" w:val="left"/>
        </w:tabs>
        <w:rPr>
          <w:sz w:val="20"/>
          <w:szCs w:val="20"/>
          <w:color w:val="auto"/>
        </w:rPr>
      </w:pPr>
      <w:r>
        <w:rPr>
          <w:rFonts w:ascii="Times New Roman" w:cs="Times New Roman" w:eastAsia="Times New Roman" w:hAnsi="Times New Roman"/>
          <w:sz w:val="11"/>
          <w:szCs w:val="11"/>
          <w:b w:val="1"/>
          <w:bCs w:val="1"/>
          <w:u w:val="single" w:color="auto"/>
          <w:color w:val="auto"/>
        </w:rPr>
        <w:t>Signature</w:t>
      </w:r>
      <w:r>
        <w:rPr>
          <w:sz w:val="20"/>
          <w:szCs w:val="20"/>
          <w:color w:val="auto"/>
        </w:rPr>
        <w:tab/>
      </w:r>
      <w:r>
        <w:rPr>
          <w:rFonts w:ascii="Times New Roman" w:cs="Times New Roman" w:eastAsia="Times New Roman" w:hAnsi="Times New Roman"/>
          <w:sz w:val="11"/>
          <w:szCs w:val="11"/>
          <w:b w:val="1"/>
          <w:bCs w:val="1"/>
          <w:u w:val="single" w:color="auto"/>
          <w:color w:val="auto"/>
        </w:rPr>
        <w:t>Title</w:t>
      </w:r>
      <w:r>
        <w:rPr>
          <w:sz w:val="20"/>
          <w:szCs w:val="20"/>
          <w:color w:val="auto"/>
        </w:rPr>
        <w:tab/>
      </w:r>
      <w:r>
        <w:rPr>
          <w:rFonts w:ascii="Times New Roman" w:cs="Times New Roman" w:eastAsia="Times New Roman" w:hAnsi="Times New Roman"/>
          <w:sz w:val="11"/>
          <w:szCs w:val="11"/>
          <w:b w:val="1"/>
          <w:bCs w:val="1"/>
          <w:u w:val="single" w:color="auto"/>
          <w:color w:val="auto"/>
        </w:rPr>
        <w:t>Date</w:t>
      </w:r>
    </w:p>
    <w:p>
      <w:pPr>
        <w:sectPr>
          <w:pgSz w:w="11900" w:h="16838" w:orient="portrait"/>
          <w:cols w:equalWidth="0" w:num="1">
            <w:col w:w="11280"/>
          </w:cols>
          <w:pgMar w:left="300" w:top="600" w:right="319" w:bottom="1440" w:gutter="0" w:footer="0" w:header="0"/>
        </w:sectPr>
      </w:pPr>
    </w:p>
    <w:p>
      <w:pPr>
        <w:spacing w:after="0" w:line="112" w:lineRule="exact"/>
        <w:rPr>
          <w:sz w:val="20"/>
          <w:szCs w:val="20"/>
          <w:color w:val="auto"/>
        </w:rPr>
      </w:pPr>
    </w:p>
    <w:p>
      <w:pPr>
        <w:jc w:val="center"/>
        <w:ind w:left="1200"/>
        <w:spacing w:after="0"/>
        <w:rPr>
          <w:sz w:val="20"/>
          <w:szCs w:val="20"/>
          <w:color w:val="auto"/>
        </w:rPr>
      </w:pPr>
      <w:r>
        <w:rPr>
          <w:rFonts w:ascii="Times New Roman" w:cs="Times New Roman" w:eastAsia="Times New Roman" w:hAnsi="Times New Roman"/>
          <w:sz w:val="14"/>
          <w:szCs w:val="14"/>
          <w:color w:val="auto"/>
        </w:rPr>
        <w:t>/s/ MICHAEL D. SLESSOR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14605</wp:posOffset>
            </wp:positionV>
            <wp:extent cx="242570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4">
                      <a:extLst>
                        <a:ext uri="{28A0092B-C50C-407E-A947-70E740481C1C}"/>
                      </a:extLst>
                    </a:blip>
                    <a:srcRect/>
                    <a:stretch>
                      <a:fillRect/>
                    </a:stretch>
                  </pic:blipFill>
                  <pic:spPr bwMode="auto">
                    <a:xfrm>
                      <a:off x="0" y="0"/>
                      <a:ext cx="2425700" cy="6985"/>
                    </a:xfrm>
                    <a:prstGeom prst="rect">
                      <a:avLst/>
                    </a:prstGeom>
                    <a:noFill/>
                  </pic:spPr>
                </pic:pic>
              </a:graphicData>
            </a:graphic>
          </wp:anchor>
        </w:drawing>
      </w:r>
    </w:p>
    <w:p>
      <w:pPr>
        <w:spacing w:after="0" w:line="3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Michael D. Slessor</w:t>
      </w:r>
    </w:p>
    <w:p>
      <w:pPr>
        <w:spacing w:after="0" w:line="6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color w:val="auto"/>
        </w:rPr>
        <w:t>/s/ SHAI SHAHAR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34925</wp:posOffset>
            </wp:positionV>
            <wp:extent cx="242570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5">
                      <a:extLst>
                        <a:ext uri="{28A0092B-C50C-407E-A947-70E740481C1C}"/>
                      </a:extLst>
                    </a:blip>
                    <a:srcRect/>
                    <a:stretch>
                      <a:fillRect/>
                    </a:stretch>
                  </pic:blipFill>
                  <pic:spPr bwMode="auto">
                    <a:xfrm>
                      <a:off x="0" y="0"/>
                      <a:ext cx="2425700" cy="6985"/>
                    </a:xfrm>
                    <a:prstGeom prst="rect">
                      <a:avLst/>
                    </a:prstGeom>
                    <a:noFill/>
                  </pic:spPr>
                </pic:pic>
              </a:graphicData>
            </a:graphic>
          </wp:anchor>
        </w:drawing>
      </w:r>
    </w:p>
    <w:p>
      <w:pPr>
        <w:spacing w:after="0" w:line="6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4"/>
          <w:szCs w:val="14"/>
          <w:color w:val="auto"/>
        </w:rPr>
        <w:t>Shai Shahar</w:t>
      </w:r>
    </w:p>
    <w:p>
      <w:pPr>
        <w:spacing w:after="0" w:line="9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/s/ THOMAS ST.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14605</wp:posOffset>
            </wp:positionV>
            <wp:extent cx="242570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6">
                      <a:extLst>
                        <a:ext uri="{28A0092B-C50C-407E-A947-70E740481C1C}"/>
                      </a:extLst>
                    </a:blip>
                    <a:srcRect/>
                    <a:stretch>
                      <a:fillRect/>
                    </a:stretch>
                  </pic:blipFill>
                  <pic:spPr bwMode="auto">
                    <a:xfrm>
                      <a:off x="0" y="0"/>
                      <a:ext cx="2425700" cy="6985"/>
                    </a:xfrm>
                    <a:prstGeom prst="rect">
                      <a:avLst/>
                    </a:prstGeom>
                    <a:noFill/>
                  </pic:spPr>
                </pic:pic>
              </a:graphicData>
            </a:graphic>
          </wp:anchor>
        </w:drawing>
      </w:r>
    </w:p>
    <w:p>
      <w:pPr>
        <w:spacing w:after="0" w:line="3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Thomas St. Dennis</w:t>
      </w:r>
    </w:p>
    <w:p>
      <w:pPr>
        <w:spacing w:after="0" w:line="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/s/ LOTHAR MAIER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14605</wp:posOffset>
            </wp:positionV>
            <wp:extent cx="242570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7">
                      <a:extLst>
                        <a:ext uri="{28A0092B-C50C-407E-A947-70E740481C1C}"/>
                      </a:extLst>
                    </a:blip>
                    <a:srcRect/>
                    <a:stretch>
                      <a:fillRect/>
                    </a:stretch>
                  </pic:blipFill>
                  <pic:spPr bwMode="auto">
                    <a:xfrm>
                      <a:off x="0" y="0"/>
                      <a:ext cx="2425700" cy="6985"/>
                    </a:xfrm>
                    <a:prstGeom prst="rect">
                      <a:avLst/>
                    </a:prstGeom>
                    <a:noFill/>
                  </pic:spPr>
                </pic:pic>
              </a:graphicData>
            </a:graphic>
          </wp:anchor>
        </w:drawing>
      </w:r>
    </w:p>
    <w:p>
      <w:pPr>
        <w:spacing w:after="0" w:line="3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color w:val="auto"/>
        </w:rPr>
        <w:t>Lothar Maier</w:t>
      </w:r>
    </w:p>
    <w:p>
      <w:pPr>
        <w:spacing w:after="0" w:line="9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/s/ REBECA OBREGON-JIMENEZ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14605</wp:posOffset>
            </wp:positionV>
            <wp:extent cx="242570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8">
                      <a:extLst>
                        <a:ext uri="{28A0092B-C50C-407E-A947-70E740481C1C}"/>
                      </a:extLst>
                    </a:blip>
                    <a:srcRect/>
                    <a:stretch>
                      <a:fillRect/>
                    </a:stretch>
                  </pic:blipFill>
                  <pic:spPr bwMode="auto">
                    <a:xfrm>
                      <a:off x="0" y="0"/>
                      <a:ext cx="2425700" cy="6985"/>
                    </a:xfrm>
                    <a:prstGeom prst="rect">
                      <a:avLst/>
                    </a:prstGeom>
                    <a:noFill/>
                  </pic:spPr>
                </pic:pic>
              </a:graphicData>
            </a:graphic>
          </wp:anchor>
        </w:drawing>
      </w:r>
    </w:p>
    <w:p>
      <w:pPr>
        <w:spacing w:after="0" w:line="3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Rebeca Obregon-Jimenez</w:t>
      </w:r>
    </w:p>
    <w:p>
      <w:pPr>
        <w:spacing w:after="0" w:line="9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/s/ SHERI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14605</wp:posOffset>
            </wp:positionV>
            <wp:extent cx="242570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9">
                      <a:extLst>
                        <a:ext uri="{28A0092B-C50C-407E-A947-70E740481C1C}"/>
                      </a:extLst>
                    </a:blip>
                    <a:srcRect/>
                    <a:stretch>
                      <a:fillRect/>
                    </a:stretch>
                  </pic:blipFill>
                  <pic:spPr bwMode="auto">
                    <a:xfrm>
                      <a:off x="0" y="0"/>
                      <a:ext cx="2425700" cy="6985"/>
                    </a:xfrm>
                    <a:prstGeom prst="rect">
                      <a:avLst/>
                    </a:prstGeom>
                    <a:noFill/>
                  </pic:spPr>
                </pic:pic>
              </a:graphicData>
            </a:graphic>
          </wp:anchor>
        </w:drawing>
      </w:r>
    </w:p>
    <w:p>
      <w:pPr>
        <w:spacing w:after="0" w:line="3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color w:val="auto"/>
        </w:rPr>
        <w:t>Sheri Rhodes</w:t>
      </w:r>
    </w:p>
    <w:p>
      <w:pPr>
        <w:spacing w:after="0" w:line="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/s/ KELLEY STEVEN-WAISS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14605</wp:posOffset>
            </wp:positionV>
            <wp:extent cx="242570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0">
                      <a:extLst>
                        <a:ext uri="{28A0092B-C50C-407E-A947-70E740481C1C}"/>
                      </a:extLst>
                    </a:blip>
                    <a:srcRect/>
                    <a:stretch>
                      <a:fillRect/>
                    </a:stretch>
                  </pic:blipFill>
                  <pic:spPr bwMode="auto">
                    <a:xfrm>
                      <a:off x="0" y="0"/>
                      <a:ext cx="2425700" cy="6985"/>
                    </a:xfrm>
                    <a:prstGeom prst="rect">
                      <a:avLst/>
                    </a:prstGeom>
                    <a:noFill/>
                  </pic:spPr>
                </pic:pic>
              </a:graphicData>
            </a:graphic>
          </wp:anchor>
        </w:drawing>
      </w:r>
    </w:p>
    <w:p>
      <w:pPr>
        <w:spacing w:after="0" w:line="3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Kelley Steven-Waiss</w:t>
      </w:r>
    </w:p>
    <w:p>
      <w:pPr>
        <w:spacing w:after="0" w:line="9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/s/ JORGE TITINGER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14605</wp:posOffset>
            </wp:positionV>
            <wp:extent cx="242570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1">
                      <a:extLst>
                        <a:ext uri="{28A0092B-C50C-407E-A947-70E740481C1C}"/>
                      </a:extLst>
                    </a:blip>
                    <a:srcRect/>
                    <a:stretch>
                      <a:fillRect/>
                    </a:stretch>
                  </pic:blipFill>
                  <pic:spPr bwMode="auto">
                    <a:xfrm>
                      <a:off x="0" y="0"/>
                      <a:ext cx="2425700" cy="6985"/>
                    </a:xfrm>
                    <a:prstGeom prst="rect">
                      <a:avLst/>
                    </a:prstGeom>
                    <a:noFill/>
                  </pic:spPr>
                </pic:pic>
              </a:graphicData>
            </a:graphic>
          </wp:anchor>
        </w:drawing>
      </w:r>
    </w:p>
    <w:p>
      <w:pPr>
        <w:spacing w:after="0" w:line="3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Jorge Titinger</w:t>
      </w:r>
    </w:p>
    <w:p>
      <w:pPr>
        <w:spacing w:after="0" w:line="9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color w:val="auto"/>
        </w:rPr>
        <w:t>/s/ BRIAN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14605</wp:posOffset>
            </wp:positionV>
            <wp:extent cx="242570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2">
                      <a:extLst>
                        <a:ext uri="{28A0092B-C50C-407E-A947-70E740481C1C}"/>
                      </a:extLst>
                    </a:blip>
                    <a:srcRect/>
                    <a:stretch>
                      <a:fillRect/>
                    </a:stretch>
                  </pic:blipFill>
                  <pic:spPr bwMode="auto">
                    <a:xfrm>
                      <a:off x="0" y="0"/>
                      <a:ext cx="2425700" cy="6985"/>
                    </a:xfrm>
                    <a:prstGeom prst="rect">
                      <a:avLst/>
                    </a:prstGeom>
                    <a:noFill/>
                  </pic:spPr>
                </pic:pic>
              </a:graphicData>
            </a:graphic>
          </wp:anchor>
        </w:drawing>
      </w:r>
    </w:p>
    <w:p>
      <w:pPr>
        <w:spacing w:after="0" w:line="3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color w:val="auto"/>
        </w:rPr>
        <w:t>Brian White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President, Chief Executive Officer and Director (Principal Executive Officer)</w:t>
            </w:r>
          </w:p>
        </w:tc>
        <w:tc>
          <w:tcPr>
            <w:tcW w:w="13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8"/>
              </w:rPr>
              <w:t>February 23, 2024</w:t>
            </w:r>
          </w:p>
        </w:tc>
        <w:tc>
          <w:tcPr>
            <w:tcW w:w="0" w:type="dxa"/>
            <w:vAlign w:val="bottom"/>
          </w:tcPr>
          <w:p>
            <w:pPr>
              <w:spacing w:after="0"/>
              <w:rPr>
                <w:sz w:val="1"/>
                <w:szCs w:val="1"/>
                <w:color w:val="auto"/>
              </w:rPr>
            </w:pPr>
          </w:p>
        </w:tc>
      </w:tr>
      <w:tr>
        <w:trPr>
          <w:trHeight w:val="351"/>
        </w:trPr>
        <w:tc>
          <w:tcPr>
            <w:tcW w:w="472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Chief Financial Officer (Principal Financial Officer and Principal Accounting</w:t>
            </w:r>
          </w:p>
        </w:tc>
        <w:tc>
          <w:tcPr>
            <w:tcW w:w="13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w w:val="98"/>
              </w:rPr>
              <w:t>February 23, 2024</w:t>
            </w:r>
          </w:p>
        </w:tc>
        <w:tc>
          <w:tcPr>
            <w:tcW w:w="0" w:type="dxa"/>
            <w:vAlign w:val="bottom"/>
          </w:tcPr>
          <w:p>
            <w:pPr>
              <w:spacing w:after="0"/>
              <w:rPr>
                <w:sz w:val="1"/>
                <w:szCs w:val="1"/>
                <w:color w:val="auto"/>
              </w:rPr>
            </w:pPr>
          </w:p>
        </w:tc>
      </w:tr>
      <w:tr>
        <w:trPr>
          <w:trHeight w:val="116"/>
        </w:trPr>
        <w:tc>
          <w:tcPr>
            <w:tcW w:w="4720" w:type="dxa"/>
            <w:vAlign w:val="bottom"/>
            <w:vMerge w:val="restart"/>
          </w:tcPr>
          <w:p>
            <w:pPr>
              <w:jc w:val="center"/>
              <w:ind w:right="269"/>
              <w:spacing w:after="0"/>
              <w:rPr>
                <w:sz w:val="20"/>
                <w:szCs w:val="20"/>
                <w:color w:val="auto"/>
              </w:rPr>
            </w:pPr>
            <w:r>
              <w:rPr>
                <w:rFonts w:ascii="Times New Roman" w:cs="Times New Roman" w:eastAsia="Times New Roman" w:hAnsi="Times New Roman"/>
                <w:sz w:val="14"/>
                <w:szCs w:val="14"/>
                <w:color w:val="auto"/>
              </w:rPr>
              <w:t>Officer)</w:t>
            </w: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72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9"/>
        </w:trPr>
        <w:tc>
          <w:tcPr>
            <w:tcW w:w="472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8"/>
              </w:rPr>
              <w:t>Director</w:t>
            </w:r>
          </w:p>
        </w:tc>
        <w:tc>
          <w:tcPr>
            <w:tcW w:w="13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8"/>
              </w:rPr>
              <w:t>February 23, 2024</w:t>
            </w:r>
          </w:p>
        </w:tc>
        <w:tc>
          <w:tcPr>
            <w:tcW w:w="0" w:type="dxa"/>
            <w:vAlign w:val="bottom"/>
          </w:tcPr>
          <w:p>
            <w:pPr>
              <w:spacing w:after="0"/>
              <w:rPr>
                <w:sz w:val="1"/>
                <w:szCs w:val="1"/>
                <w:color w:val="auto"/>
              </w:rPr>
            </w:pPr>
          </w:p>
        </w:tc>
      </w:tr>
      <w:tr>
        <w:trPr>
          <w:trHeight w:val="467"/>
        </w:trPr>
        <w:tc>
          <w:tcPr>
            <w:tcW w:w="472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8"/>
              </w:rPr>
              <w:t>Director</w:t>
            </w:r>
          </w:p>
        </w:tc>
        <w:tc>
          <w:tcPr>
            <w:tcW w:w="13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8"/>
              </w:rPr>
              <w:t>February 23, 2024</w:t>
            </w:r>
          </w:p>
        </w:tc>
        <w:tc>
          <w:tcPr>
            <w:tcW w:w="0" w:type="dxa"/>
            <w:vAlign w:val="bottom"/>
          </w:tcPr>
          <w:p>
            <w:pPr>
              <w:spacing w:after="0"/>
              <w:rPr>
                <w:sz w:val="1"/>
                <w:szCs w:val="1"/>
                <w:color w:val="auto"/>
              </w:rPr>
            </w:pPr>
          </w:p>
        </w:tc>
      </w:tr>
      <w:tr>
        <w:trPr>
          <w:trHeight w:val="467"/>
        </w:trPr>
        <w:tc>
          <w:tcPr>
            <w:tcW w:w="472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8"/>
              </w:rPr>
              <w:t>Director</w:t>
            </w:r>
          </w:p>
        </w:tc>
        <w:tc>
          <w:tcPr>
            <w:tcW w:w="13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8"/>
              </w:rPr>
              <w:t>February 23, 2024</w:t>
            </w:r>
          </w:p>
        </w:tc>
        <w:tc>
          <w:tcPr>
            <w:tcW w:w="0" w:type="dxa"/>
            <w:vAlign w:val="bottom"/>
          </w:tcPr>
          <w:p>
            <w:pPr>
              <w:spacing w:after="0"/>
              <w:rPr>
                <w:sz w:val="1"/>
                <w:szCs w:val="1"/>
                <w:color w:val="auto"/>
              </w:rPr>
            </w:pPr>
          </w:p>
        </w:tc>
      </w:tr>
      <w:tr>
        <w:trPr>
          <w:trHeight w:val="467"/>
        </w:trPr>
        <w:tc>
          <w:tcPr>
            <w:tcW w:w="472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8"/>
              </w:rPr>
              <w:t>Director</w:t>
            </w:r>
          </w:p>
        </w:tc>
        <w:tc>
          <w:tcPr>
            <w:tcW w:w="13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8"/>
              </w:rPr>
              <w:t>February 23, 2024</w:t>
            </w:r>
          </w:p>
        </w:tc>
        <w:tc>
          <w:tcPr>
            <w:tcW w:w="0" w:type="dxa"/>
            <w:vAlign w:val="bottom"/>
          </w:tcPr>
          <w:p>
            <w:pPr>
              <w:spacing w:after="0"/>
              <w:rPr>
                <w:sz w:val="1"/>
                <w:szCs w:val="1"/>
                <w:color w:val="auto"/>
              </w:rPr>
            </w:pPr>
          </w:p>
        </w:tc>
      </w:tr>
      <w:tr>
        <w:trPr>
          <w:trHeight w:val="467"/>
        </w:trPr>
        <w:tc>
          <w:tcPr>
            <w:tcW w:w="472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8"/>
              </w:rPr>
              <w:t>Director</w:t>
            </w:r>
          </w:p>
        </w:tc>
        <w:tc>
          <w:tcPr>
            <w:tcW w:w="13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8"/>
              </w:rPr>
              <w:t>February 23, 2024</w:t>
            </w:r>
          </w:p>
        </w:tc>
        <w:tc>
          <w:tcPr>
            <w:tcW w:w="0" w:type="dxa"/>
            <w:vAlign w:val="bottom"/>
          </w:tcPr>
          <w:p>
            <w:pPr>
              <w:spacing w:after="0"/>
              <w:rPr>
                <w:sz w:val="1"/>
                <w:szCs w:val="1"/>
                <w:color w:val="auto"/>
              </w:rPr>
            </w:pPr>
          </w:p>
        </w:tc>
      </w:tr>
      <w:tr>
        <w:trPr>
          <w:trHeight w:val="467"/>
        </w:trPr>
        <w:tc>
          <w:tcPr>
            <w:tcW w:w="472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8"/>
              </w:rPr>
              <w:t>Director</w:t>
            </w:r>
          </w:p>
        </w:tc>
        <w:tc>
          <w:tcPr>
            <w:tcW w:w="13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8"/>
              </w:rPr>
              <w:t>February 23, 2024</w:t>
            </w:r>
          </w:p>
        </w:tc>
        <w:tc>
          <w:tcPr>
            <w:tcW w:w="0" w:type="dxa"/>
            <w:vAlign w:val="bottom"/>
          </w:tcPr>
          <w:p>
            <w:pPr>
              <w:spacing w:after="0"/>
              <w:rPr>
                <w:sz w:val="1"/>
                <w:szCs w:val="1"/>
                <w:color w:val="auto"/>
              </w:rPr>
            </w:pPr>
          </w:p>
        </w:tc>
      </w:tr>
      <w:tr>
        <w:trPr>
          <w:trHeight w:val="467"/>
        </w:trPr>
        <w:tc>
          <w:tcPr>
            <w:tcW w:w="472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98"/>
              </w:rPr>
              <w:t>Director</w:t>
            </w:r>
          </w:p>
        </w:tc>
        <w:tc>
          <w:tcPr>
            <w:tcW w:w="13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8"/>
              </w:rPr>
              <w:t>February 23, 2024</w:t>
            </w:r>
          </w:p>
        </w:tc>
        <w:tc>
          <w:tcPr>
            <w:tcW w:w="0" w:type="dxa"/>
            <w:vAlign w:val="bottom"/>
          </w:tcPr>
          <w:p>
            <w:pPr>
              <w:spacing w:after="0"/>
              <w:rPr>
                <w:sz w:val="1"/>
                <w:szCs w:val="1"/>
                <w:color w:val="auto"/>
              </w:rPr>
            </w:pPr>
          </w:p>
        </w:tc>
      </w:tr>
    </w:tbl>
    <w:p>
      <w:pPr>
        <w:spacing w:after="0" w:line="304" w:lineRule="exact"/>
        <w:rPr>
          <w:sz w:val="20"/>
          <w:szCs w:val="20"/>
          <w:color w:val="auto"/>
        </w:rPr>
      </w:pPr>
    </w:p>
    <w:p>
      <w:pPr>
        <w:sectPr>
          <w:pgSz w:w="11900" w:h="16838" w:orient="portrait"/>
          <w:cols w:equalWidth="0" w:num="2">
            <w:col w:w="4040" w:space="720"/>
            <w:col w:w="6520"/>
          </w:cols>
          <w:pgMar w:left="300" w:top="600" w:right="319" w:bottom="144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00" w:right="319" w:bottom="1440"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FormFactor,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Opinions on the Consolidated Financial Statements and Internal Control Over Financial Reporting</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FormFactor, Inc. and subsidiaries (the Company) as of December 30, 2023 and December 31, 2022, the related consolidated statements of income, comprehensive income, stockholders’ equity, and cash flows for each of the years in the three-year period ended December 30, 2023, and the related notes (collectively, the consolidated financial statements). We also have audited the Company’s internal control over financial reporting as of December 30, 2023, based on criteria established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(2013) </w:t>
      </w:r>
      <w:r>
        <w:rPr>
          <w:rFonts w:ascii="Times New Roman" w:cs="Times New Roman" w:eastAsia="Times New Roman" w:hAnsi="Times New Roman"/>
          <w:sz w:val="14"/>
          <w:szCs w:val="14"/>
          <w:color w:val="auto"/>
        </w:rPr>
        <w:t>issued by the Committee of Sponsoring Organizations of the Treadway Commission.</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December 30, 2023 and December 31, 2022, and the results of its operations and its cash flows for each of the years in the three-year period ended December 30, 2023, in conformity with U.S. generally accepted accounting principles. Also in our opinion, the Company maintained, in all material respects, effective internal control over financial reporting as of December 30, 2023 based on criteria established in </w:t>
      </w:r>
      <w:r>
        <w:rPr>
          <w:rFonts w:ascii="Times New Roman" w:cs="Times New Roman" w:eastAsia="Times New Roman" w:hAnsi="Times New Roman"/>
          <w:sz w:val="14"/>
          <w:szCs w:val="14"/>
          <w:i w:val="1"/>
          <w:iCs w:val="1"/>
          <w:color w:val="auto"/>
        </w:rPr>
        <w:t>Internal Control – Integrated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Framework (2013) </w:t>
      </w:r>
      <w:r>
        <w:rPr>
          <w:rFonts w:ascii="Times New Roman" w:cs="Times New Roman" w:eastAsia="Times New Roman" w:hAnsi="Times New Roman"/>
          <w:sz w:val="14"/>
          <w:szCs w:val="14"/>
          <w:color w:val="auto"/>
        </w:rPr>
        <w:t>issued by the Committee of Sponsoring Organizations of the Treadway Commission.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Definition and Limitations of Internal Control Over Financial Reporting</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47" w:name="page48"/>
    <w:bookmarkEnd w:id="47"/>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Evaluation of inventory excess and obsolescence</w:t>
      </w:r>
    </w:p>
    <w:p>
      <w:pPr>
        <w:spacing w:after="0" w:line="202"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4"/>
          <w:szCs w:val="14"/>
          <w:color w:val="auto"/>
        </w:rPr>
        <w:t>As discussed in notes 2 and 3 to the consolidated financial statements, the Company’s net inventories were $111.7 million as of December 30, 2023, and inventory write-downs totaled $15.0 million for the year ended December 30, 2023. The Company states its inventories at the lower of cost or net realizable value. The Company records an adjustment to the cost basis of inventory when evidence exists that the net realizable value of inventory is lower than its cost, which occurs when the Company has excess and/or obsolete inventory. The Company’s model to estimate the excess and/or obsolete inventory is based on an analysis of existing inventory quantities compared to estimated future consumption. Future consumption is estimated based upon assumptions about how past consumption, recent purchases, backlog or other factors indicate future consumption.</w:t>
      </w:r>
    </w:p>
    <w:p>
      <w:pPr>
        <w:spacing w:after="0" w:line="164" w:lineRule="exact"/>
        <w:rPr>
          <w:sz w:val="20"/>
          <w:szCs w:val="20"/>
          <w:color w:val="auto"/>
        </w:rPr>
      </w:pPr>
    </w:p>
    <w:p>
      <w:pPr>
        <w:jc w:val="both"/>
        <w:ind w:left="520"/>
        <w:spacing w:after="0" w:line="287" w:lineRule="auto"/>
        <w:rPr>
          <w:sz w:val="20"/>
          <w:szCs w:val="20"/>
          <w:color w:val="auto"/>
        </w:rPr>
      </w:pPr>
      <w:r>
        <w:rPr>
          <w:rFonts w:ascii="Times New Roman" w:cs="Times New Roman" w:eastAsia="Times New Roman" w:hAnsi="Times New Roman"/>
          <w:sz w:val="14"/>
          <w:szCs w:val="14"/>
          <w:color w:val="auto"/>
        </w:rPr>
        <w:t>We identified the evaluation of inventory excess and obsolescence as a critical audit matter. Complex auditor judgment was required to evaluate certain assumptions used to estimate future consumption of inventory in the Company’s model, specifically qualitative other factors that have a high degree of subjectivity and are based on the outcome of uncertain future events.</w:t>
      </w:r>
    </w:p>
    <w:p>
      <w:pPr>
        <w:spacing w:after="0" w:line="145" w:lineRule="exact"/>
        <w:rPr>
          <w:sz w:val="20"/>
          <w:szCs w:val="20"/>
          <w:color w:val="auto"/>
        </w:rPr>
      </w:pPr>
    </w:p>
    <w:p>
      <w:pPr>
        <w:jc w:val="both"/>
        <w:ind w:left="520"/>
        <w:spacing w:after="0" w:line="270"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evaluated the design and tested the operating effectiveness of certain internal controls related to the Company’s process to estimate inventory excess and obsolescence. This included controls related to the development of certain assumptions used to estimate future consumption of inventory, including qualitative other factors.We assessed the Company’s assumptions used to estimate future consumption of inventory, including qualitative other factors by:</w:t>
      </w:r>
    </w:p>
    <w:p>
      <w:pPr>
        <w:spacing w:after="0" w:line="157" w:lineRule="exact"/>
        <w:rPr>
          <w:sz w:val="20"/>
          <w:szCs w:val="20"/>
          <w:color w:val="auto"/>
        </w:rPr>
      </w:pPr>
    </w:p>
    <w:p>
      <w:pPr>
        <w:ind w:left="1020" w:hanging="251"/>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historical cumulative write down trends and relevant changes to the overall business environment, including key customers and product lines</w:t>
      </w:r>
    </w:p>
    <w:p>
      <w:pPr>
        <w:spacing w:after="0" w:line="2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the Company’s ability to accurately estimate future consumption by comparing certain assumptions made in prior year to actual results in the subsequent period</w:t>
      </w:r>
    </w:p>
    <w:p>
      <w:pPr>
        <w:spacing w:after="0" w:line="8" w:lineRule="exact"/>
        <w:rPr>
          <w:rFonts w:ascii="Times New Roman" w:cs="Times New Roman" w:eastAsia="Times New Roman" w:hAnsi="Times New Roman"/>
          <w:sz w:val="14"/>
          <w:szCs w:val="14"/>
          <w:color w:val="auto"/>
        </w:rPr>
      </w:pPr>
    </w:p>
    <w:p>
      <w:pPr>
        <w:ind w:left="1020" w:right="440" w:hanging="251"/>
        <w:spacing w:after="0" w:line="253" w:lineRule="auto"/>
        <w:tabs>
          <w:tab w:leader="none" w:pos="10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performing inquiries with nonfinancial personnel, including sales and production employees, for a selection of products within inventory for which the Company recorded an adjustment to the cost basis based on qualitative other factors</w:t>
      </w:r>
    </w:p>
    <w:p>
      <w:pPr>
        <w:ind w:left="1020" w:right="60" w:hanging="251"/>
        <w:spacing w:after="0" w:line="259" w:lineRule="auto"/>
        <w:tabs>
          <w:tab w:leader="none" w:pos="10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selecting a sample of products within inventory for which the Company recorded an adjustment to the cost basis based on qualitative other factors and for each sample selection, we inspected internal and/or external information underlying the qualitative other factors and recalculated the Company’s estimate of the cumulative inventory write-downs based on the actual quantity of product on hand compared to the estimate of future consumption.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Portland, Oregon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23, 2024</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02" w:right="3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w w:val="95"/>
              </w:rPr>
              <w:t>December 30, 2023</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0" w:type="dxa"/>
            <w:vAlign w:val="bottom"/>
          </w:tcPr>
          <w:p>
            <w:pPr>
              <w:spacing w:after="0"/>
              <w:rPr>
                <w:sz w:val="1"/>
                <w:szCs w:val="1"/>
                <w:color w:val="auto"/>
              </w:rPr>
            </w:pPr>
          </w:p>
        </w:tc>
      </w:tr>
      <w:tr>
        <w:trPr>
          <w:trHeight w:val="174"/>
        </w:trPr>
        <w:tc>
          <w:tcPr>
            <w:tcW w:w="8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tc>
        <w:tc>
          <w:tcPr>
            <w:tcW w:w="0" w:type="dxa"/>
            <w:vAlign w:val="bottom"/>
          </w:tcPr>
          <w:p>
            <w:pPr>
              <w:spacing w:after="0"/>
              <w:rPr>
                <w:sz w:val="1"/>
                <w:szCs w:val="1"/>
                <w:color w:val="auto"/>
              </w:rPr>
            </w:pPr>
          </w:p>
        </w:tc>
      </w:tr>
      <w:tr>
        <w:trPr>
          <w:trHeight w:val="19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177,812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109,130</w:t>
            </w:r>
          </w:p>
        </w:tc>
        <w:tc>
          <w:tcPr>
            <w:tcW w:w="0" w:type="dxa"/>
            <w:vAlign w:val="bottom"/>
          </w:tcPr>
          <w:p>
            <w:pPr>
              <w:spacing w:after="0"/>
              <w:rPr>
                <w:sz w:val="1"/>
                <w:szCs w:val="1"/>
                <w:color w:val="auto"/>
              </w:rPr>
            </w:pPr>
          </w:p>
        </w:tc>
      </w:tr>
      <w:tr>
        <w:trPr>
          <w:trHeight w:val="180"/>
        </w:trPr>
        <w:tc>
          <w:tcPr>
            <w:tcW w:w="8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Marketable securities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150,507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129,006</w:t>
            </w:r>
          </w:p>
        </w:tc>
        <w:tc>
          <w:tcPr>
            <w:tcW w:w="0" w:type="dxa"/>
            <w:vAlign w:val="bottom"/>
          </w:tcPr>
          <w:p>
            <w:pPr>
              <w:spacing w:after="0"/>
              <w:rPr>
                <w:sz w:val="1"/>
                <w:szCs w:val="1"/>
                <w:color w:val="auto"/>
              </w:rPr>
            </w:pPr>
          </w:p>
        </w:tc>
      </w:tr>
      <w:tr>
        <w:trPr>
          <w:trHeight w:val="180"/>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102,957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88,143</w:t>
            </w:r>
          </w:p>
        </w:tc>
        <w:tc>
          <w:tcPr>
            <w:tcW w:w="0" w:type="dxa"/>
            <w:vAlign w:val="bottom"/>
          </w:tcPr>
          <w:p>
            <w:pPr>
              <w:spacing w:after="0"/>
              <w:rPr>
                <w:sz w:val="1"/>
                <w:szCs w:val="1"/>
                <w:color w:val="auto"/>
              </w:rPr>
            </w:pPr>
          </w:p>
        </w:tc>
      </w:tr>
      <w:tr>
        <w:trPr>
          <w:trHeight w:val="180"/>
        </w:trPr>
        <w:tc>
          <w:tcPr>
            <w:tcW w:w="8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Inventories, net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111,685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123,157</w:t>
            </w:r>
          </w:p>
        </w:tc>
        <w:tc>
          <w:tcPr>
            <w:tcW w:w="0" w:type="dxa"/>
            <w:vAlign w:val="bottom"/>
          </w:tcPr>
          <w:p>
            <w:pPr>
              <w:spacing w:after="0"/>
              <w:rPr>
                <w:sz w:val="1"/>
                <w:szCs w:val="1"/>
                <w:color w:val="auto"/>
              </w:rPr>
            </w:pPr>
          </w:p>
        </w:tc>
      </w:tr>
      <w:tr>
        <w:trPr>
          <w:trHeight w:val="180"/>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0" w:type="dxa"/>
            <w:vAlign w:val="bottom"/>
          </w:tcPr>
          <w:p>
            <w:pPr>
              <w:spacing w:after="0"/>
              <w:rPr>
                <w:sz w:val="1"/>
                <w:szCs w:val="1"/>
                <w:color w:val="auto"/>
              </w:rPr>
            </w:pPr>
          </w:p>
        </w:tc>
      </w:tr>
      <w:tr>
        <w:trPr>
          <w:trHeight w:val="180"/>
        </w:trPr>
        <w:tc>
          <w:tcPr>
            <w:tcW w:w="8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29,667</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23,895</w:t>
            </w:r>
          </w:p>
        </w:tc>
        <w:tc>
          <w:tcPr>
            <w:tcW w:w="0" w:type="dxa"/>
            <w:vAlign w:val="bottom"/>
          </w:tcPr>
          <w:p>
            <w:pPr>
              <w:spacing w:after="0"/>
              <w:rPr>
                <w:sz w:val="1"/>
                <w:szCs w:val="1"/>
                <w:color w:val="auto"/>
              </w:rPr>
            </w:pPr>
          </w:p>
        </w:tc>
      </w:tr>
      <w:tr>
        <w:trPr>
          <w:trHeight w:val="171"/>
        </w:trPr>
        <w:tc>
          <w:tcPr>
            <w:tcW w:w="8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573,780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474,552</w:t>
            </w:r>
          </w:p>
        </w:tc>
        <w:tc>
          <w:tcPr>
            <w:tcW w:w="0" w:type="dxa"/>
            <w:vAlign w:val="bottom"/>
          </w:tcPr>
          <w:p>
            <w:pPr>
              <w:spacing w:after="0"/>
              <w:rPr>
                <w:sz w:val="1"/>
                <w:szCs w:val="1"/>
                <w:color w:val="auto"/>
              </w:rPr>
            </w:pPr>
          </w:p>
        </w:tc>
      </w:tr>
      <w:tr>
        <w:trPr>
          <w:trHeight w:val="180"/>
        </w:trPr>
        <w:tc>
          <w:tcPr>
            <w:tcW w:w="8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0" w:type="dxa"/>
            <w:vAlign w:val="bottom"/>
          </w:tcPr>
          <w:p>
            <w:pPr>
              <w:spacing w:after="0"/>
              <w:rPr>
                <w:sz w:val="1"/>
                <w:szCs w:val="1"/>
                <w:color w:val="auto"/>
              </w:rPr>
            </w:pPr>
          </w:p>
        </w:tc>
      </w:tr>
      <w:tr>
        <w:trPr>
          <w:trHeight w:val="180"/>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 right-of-use-assets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30,519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31,362</w:t>
            </w:r>
          </w:p>
        </w:tc>
        <w:tc>
          <w:tcPr>
            <w:tcW w:w="0" w:type="dxa"/>
            <w:vAlign w:val="bottom"/>
          </w:tcPr>
          <w:p>
            <w:pPr>
              <w:spacing w:after="0"/>
              <w:rPr>
                <w:sz w:val="1"/>
                <w:szCs w:val="1"/>
                <w:color w:val="auto"/>
              </w:rPr>
            </w:pPr>
          </w:p>
        </w:tc>
      </w:tr>
      <w:tr>
        <w:trPr>
          <w:trHeight w:val="180"/>
        </w:trPr>
        <w:tc>
          <w:tcPr>
            <w:tcW w:w="8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204,399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189,848</w:t>
            </w:r>
          </w:p>
        </w:tc>
        <w:tc>
          <w:tcPr>
            <w:tcW w:w="0" w:type="dxa"/>
            <w:vAlign w:val="bottom"/>
          </w:tcPr>
          <w:p>
            <w:pPr>
              <w:spacing w:after="0"/>
              <w:rPr>
                <w:sz w:val="1"/>
                <w:szCs w:val="1"/>
                <w:color w:val="auto"/>
              </w:rPr>
            </w:pPr>
          </w:p>
        </w:tc>
      </w:tr>
      <w:tr>
        <w:trPr>
          <w:trHeight w:val="180"/>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201,090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211,444</w:t>
            </w:r>
          </w:p>
        </w:tc>
        <w:tc>
          <w:tcPr>
            <w:tcW w:w="0" w:type="dxa"/>
            <w:vAlign w:val="bottom"/>
          </w:tcPr>
          <w:p>
            <w:pPr>
              <w:spacing w:after="0"/>
              <w:rPr>
                <w:sz w:val="1"/>
                <w:szCs w:val="1"/>
                <w:color w:val="auto"/>
              </w:rPr>
            </w:pPr>
          </w:p>
        </w:tc>
      </w:tr>
      <w:tr>
        <w:trPr>
          <w:trHeight w:val="180"/>
        </w:trPr>
        <w:tc>
          <w:tcPr>
            <w:tcW w:w="8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Intangibles, net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26,751</w:t>
            </w:r>
          </w:p>
        </w:tc>
        <w:tc>
          <w:tcPr>
            <w:tcW w:w="0" w:type="dxa"/>
            <w:vAlign w:val="bottom"/>
          </w:tcPr>
          <w:p>
            <w:pPr>
              <w:spacing w:after="0"/>
              <w:rPr>
                <w:sz w:val="1"/>
                <w:szCs w:val="1"/>
                <w:color w:val="auto"/>
              </w:rPr>
            </w:pPr>
          </w:p>
        </w:tc>
      </w:tr>
      <w:tr>
        <w:trPr>
          <w:trHeight w:val="180"/>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tax assets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78,964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67,646</w:t>
            </w:r>
          </w:p>
        </w:tc>
        <w:tc>
          <w:tcPr>
            <w:tcW w:w="0" w:type="dxa"/>
            <w:vAlign w:val="bottom"/>
          </w:tcPr>
          <w:p>
            <w:pPr>
              <w:spacing w:after="0"/>
              <w:rPr>
                <w:sz w:val="1"/>
                <w:szCs w:val="1"/>
                <w:color w:val="auto"/>
              </w:rPr>
            </w:pPr>
          </w:p>
        </w:tc>
      </w:tr>
      <w:tr>
        <w:trPr>
          <w:trHeight w:val="180"/>
        </w:trPr>
        <w:tc>
          <w:tcPr>
            <w:tcW w:w="8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0" w:type="dxa"/>
            <w:vAlign w:val="bottom"/>
          </w:tcPr>
          <w:p>
            <w:pPr>
              <w:spacing w:after="0"/>
              <w:rPr>
                <w:sz w:val="1"/>
                <w:szCs w:val="1"/>
                <w:color w:val="auto"/>
              </w:rPr>
            </w:pPr>
          </w:p>
        </w:tc>
      </w:tr>
      <w:tr>
        <w:trPr>
          <w:trHeight w:val="196"/>
        </w:trPr>
        <w:tc>
          <w:tcPr>
            <w:tcW w:w="8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1,106,794</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1,008,228</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63,857</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69,308</w:t>
            </w:r>
          </w:p>
        </w:tc>
        <w:tc>
          <w:tcPr>
            <w:tcW w:w="0" w:type="dxa"/>
            <w:vAlign w:val="bottom"/>
          </w:tcPr>
          <w:p>
            <w:pPr>
              <w:spacing w:after="0"/>
              <w:rPr>
                <w:sz w:val="1"/>
                <w:szCs w:val="1"/>
                <w:color w:val="auto"/>
              </w:rPr>
            </w:pPr>
          </w:p>
        </w:tc>
      </w:tr>
      <w:tr>
        <w:trPr>
          <w:trHeight w:val="180"/>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liabilities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42,115</w:t>
            </w:r>
          </w:p>
        </w:tc>
        <w:tc>
          <w:tcPr>
            <w:tcW w:w="0" w:type="dxa"/>
            <w:vAlign w:val="bottom"/>
          </w:tcPr>
          <w:p>
            <w:pPr>
              <w:spacing w:after="0"/>
              <w:rPr>
                <w:sz w:val="1"/>
                <w:szCs w:val="1"/>
                <w:color w:val="auto"/>
              </w:rPr>
            </w:pPr>
          </w:p>
        </w:tc>
      </w:tr>
      <w:tr>
        <w:trPr>
          <w:trHeight w:val="180"/>
        </w:trPr>
        <w:tc>
          <w:tcPr>
            <w:tcW w:w="8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portion of term loans, net of unamortized issuance cost of $5 and $5</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0" w:type="dxa"/>
            <w:vAlign w:val="bottom"/>
          </w:tcPr>
          <w:p>
            <w:pPr>
              <w:spacing w:after="0"/>
              <w:rPr>
                <w:sz w:val="1"/>
                <w:szCs w:val="1"/>
                <w:color w:val="auto"/>
              </w:rPr>
            </w:pPr>
          </w:p>
        </w:tc>
      </w:tr>
      <w:tr>
        <w:trPr>
          <w:trHeight w:val="180"/>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29,846</w:t>
            </w:r>
          </w:p>
        </w:tc>
        <w:tc>
          <w:tcPr>
            <w:tcW w:w="0" w:type="dxa"/>
            <w:vAlign w:val="bottom"/>
          </w:tcPr>
          <w:p>
            <w:pPr>
              <w:spacing w:after="0"/>
              <w:rPr>
                <w:sz w:val="1"/>
                <w:szCs w:val="1"/>
                <w:color w:val="auto"/>
              </w:rPr>
            </w:pPr>
          </w:p>
        </w:tc>
      </w:tr>
      <w:tr>
        <w:trPr>
          <w:trHeight w:val="180"/>
        </w:trPr>
        <w:tc>
          <w:tcPr>
            <w:tcW w:w="8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8,422</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7,353</w:t>
            </w:r>
          </w:p>
        </w:tc>
        <w:tc>
          <w:tcPr>
            <w:tcW w:w="0" w:type="dxa"/>
            <w:vAlign w:val="bottom"/>
          </w:tcPr>
          <w:p>
            <w:pPr>
              <w:spacing w:after="0"/>
              <w:rPr>
                <w:sz w:val="1"/>
                <w:szCs w:val="1"/>
                <w:color w:val="auto"/>
              </w:rPr>
            </w:pPr>
          </w:p>
        </w:tc>
      </w:tr>
      <w:tr>
        <w:trPr>
          <w:trHeight w:val="171"/>
        </w:trPr>
        <w:tc>
          <w:tcPr>
            <w:tcW w:w="8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131,095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149,667</w:t>
            </w:r>
          </w:p>
        </w:tc>
        <w:tc>
          <w:tcPr>
            <w:tcW w:w="0" w:type="dxa"/>
            <w:vAlign w:val="bottom"/>
          </w:tcPr>
          <w:p>
            <w:pPr>
              <w:spacing w:after="0"/>
              <w:rPr>
                <w:sz w:val="1"/>
                <w:szCs w:val="1"/>
                <w:color w:val="auto"/>
              </w:rPr>
            </w:pPr>
          </w:p>
        </w:tc>
      </w:tr>
      <w:tr>
        <w:trPr>
          <w:trHeight w:val="180"/>
        </w:trPr>
        <w:tc>
          <w:tcPr>
            <w:tcW w:w="8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Term loans, less current portion, net of unamortized issuance cost of $55 and $60</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14,389</w:t>
            </w:r>
          </w:p>
        </w:tc>
        <w:tc>
          <w:tcPr>
            <w:tcW w:w="0" w:type="dxa"/>
            <w:vAlign w:val="bottom"/>
          </w:tcPr>
          <w:p>
            <w:pPr>
              <w:spacing w:after="0"/>
              <w:rPr>
                <w:sz w:val="1"/>
                <w:szCs w:val="1"/>
                <w:color w:val="auto"/>
              </w:rPr>
            </w:pPr>
          </w:p>
        </w:tc>
      </w:tr>
      <w:tr>
        <w:trPr>
          <w:trHeight w:val="180"/>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0" w:type="dxa"/>
            <w:vAlign w:val="bottom"/>
          </w:tcPr>
          <w:p>
            <w:pPr>
              <w:spacing w:after="0"/>
              <w:rPr>
                <w:sz w:val="1"/>
                <w:szCs w:val="1"/>
                <w:color w:val="auto"/>
              </w:rPr>
            </w:pPr>
          </w:p>
        </w:tc>
      </w:tr>
      <w:tr>
        <w:trPr>
          <w:trHeight w:val="180"/>
        </w:trPr>
        <w:tc>
          <w:tcPr>
            <w:tcW w:w="8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27,587</w:t>
            </w:r>
          </w:p>
        </w:tc>
        <w:tc>
          <w:tcPr>
            <w:tcW w:w="0" w:type="dxa"/>
            <w:vAlign w:val="bottom"/>
          </w:tcPr>
          <w:p>
            <w:pPr>
              <w:spacing w:after="0"/>
              <w:rPr>
                <w:sz w:val="1"/>
                <w:szCs w:val="1"/>
                <w:color w:val="auto"/>
              </w:rPr>
            </w:pPr>
          </w:p>
        </w:tc>
      </w:tr>
      <w:tr>
        <w:trPr>
          <w:trHeight w:val="180"/>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grant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10,247</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5,568</w:t>
            </w:r>
          </w:p>
        </w:tc>
        <w:tc>
          <w:tcPr>
            <w:tcW w:w="0" w:type="dxa"/>
            <w:vAlign w:val="bottom"/>
          </w:tcPr>
          <w:p>
            <w:pPr>
              <w:spacing w:after="0"/>
              <w:rPr>
                <w:sz w:val="1"/>
                <w:szCs w:val="1"/>
                <w:color w:val="auto"/>
              </w:rPr>
            </w:pPr>
          </w:p>
        </w:tc>
      </w:tr>
      <w:tr>
        <w:trPr>
          <w:trHeight w:val="171"/>
        </w:trPr>
        <w:tc>
          <w:tcPr>
            <w:tcW w:w="8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197,990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199,943</w:t>
            </w:r>
          </w:p>
        </w:tc>
        <w:tc>
          <w:tcPr>
            <w:tcW w:w="0" w:type="dxa"/>
            <w:vAlign w:val="bottom"/>
          </w:tcPr>
          <w:p>
            <w:pPr>
              <w:spacing w:after="0"/>
              <w:rPr>
                <w:sz w:val="1"/>
                <w:szCs w:val="1"/>
                <w:color w:val="auto"/>
              </w:rPr>
            </w:pPr>
          </w:p>
        </w:tc>
      </w:tr>
      <w:tr>
        <w:trPr>
          <w:trHeight w:val="170"/>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Preferred stock, $0.001 par value:</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10,000,000 shares authorized; no shares issued and outstanding</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250,000,000 shares authorized; 77,376,903 and 76,914,590 shares issued and outstanding</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0"/>
        </w:trPr>
        <w:tc>
          <w:tcPr>
            <w:tcW w:w="8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861,448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844,842</w:t>
            </w:r>
          </w:p>
        </w:tc>
        <w:tc>
          <w:tcPr>
            <w:tcW w:w="0" w:type="dxa"/>
            <w:vAlign w:val="bottom"/>
          </w:tcPr>
          <w:p>
            <w:pPr>
              <w:spacing w:after="0"/>
              <w:rPr>
                <w:sz w:val="1"/>
                <w:szCs w:val="1"/>
                <w:color w:val="auto"/>
              </w:rPr>
            </w:pPr>
          </w:p>
        </w:tc>
      </w:tr>
      <w:tr>
        <w:trPr>
          <w:trHeight w:val="180"/>
        </w:trPr>
        <w:tc>
          <w:tcPr>
            <w:tcW w:w="8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(5,578)</w:t>
            </w:r>
          </w:p>
        </w:tc>
        <w:tc>
          <w:tcPr>
            <w:tcW w:w="0" w:type="dxa"/>
            <w:vAlign w:val="bottom"/>
          </w:tcPr>
          <w:p>
            <w:pPr>
              <w:spacing w:after="0"/>
              <w:rPr>
                <w:sz w:val="1"/>
                <w:szCs w:val="1"/>
                <w:color w:val="auto"/>
              </w:rPr>
            </w:pPr>
          </w:p>
        </w:tc>
      </w:tr>
      <w:tr>
        <w:trPr>
          <w:trHeight w:val="180"/>
        </w:trPr>
        <w:tc>
          <w:tcPr>
            <w:tcW w:w="8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Accumulated income (deficit)</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51,331</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(31,056)</w:t>
            </w:r>
          </w:p>
        </w:tc>
        <w:tc>
          <w:tcPr>
            <w:tcW w:w="0" w:type="dxa"/>
            <w:vAlign w:val="bottom"/>
          </w:tcPr>
          <w:p>
            <w:pPr>
              <w:spacing w:after="0"/>
              <w:rPr>
                <w:sz w:val="1"/>
                <w:szCs w:val="1"/>
                <w:color w:val="auto"/>
              </w:rPr>
            </w:pPr>
          </w:p>
        </w:tc>
      </w:tr>
      <w:tr>
        <w:trPr>
          <w:trHeight w:val="171"/>
        </w:trPr>
        <w:tc>
          <w:tcPr>
            <w:tcW w:w="8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908,804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808,285</w:t>
            </w:r>
          </w:p>
        </w:tc>
        <w:tc>
          <w:tcPr>
            <w:tcW w:w="0" w:type="dxa"/>
            <w:vAlign w:val="bottom"/>
          </w:tcPr>
          <w:p>
            <w:pPr>
              <w:spacing w:after="0"/>
              <w:rPr>
                <w:sz w:val="1"/>
                <w:szCs w:val="1"/>
                <w:color w:val="auto"/>
              </w:rPr>
            </w:pPr>
          </w:p>
        </w:tc>
      </w:tr>
      <w:tr>
        <w:trPr>
          <w:trHeight w:val="171"/>
        </w:trPr>
        <w:tc>
          <w:tcPr>
            <w:tcW w:w="8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1,106,794</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1,008,228</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49" w:name="page50"/>
    <w:bookmarkEnd w:id="4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December 25, 2021</w:t>
            </w:r>
          </w:p>
        </w:tc>
        <w:tc>
          <w:tcPr>
            <w:tcW w:w="0" w:type="dxa"/>
            <w:vAlign w:val="bottom"/>
          </w:tcPr>
          <w:p>
            <w:pPr>
              <w:spacing w:after="0"/>
              <w:rPr>
                <w:sz w:val="1"/>
                <w:szCs w:val="1"/>
                <w:color w:val="auto"/>
              </w:rPr>
            </w:pPr>
          </w:p>
        </w:tc>
      </w:tr>
      <w:tr>
        <w:trPr>
          <w:trHeight w:val="173"/>
        </w:trPr>
        <w:tc>
          <w:tcPr>
            <w:tcW w:w="6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60" w:type="dxa"/>
            <w:vAlign w:val="bottom"/>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 except per share data)</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663,102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747,937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769,674</w:t>
            </w:r>
          </w:p>
        </w:tc>
        <w:tc>
          <w:tcPr>
            <w:tcW w:w="0" w:type="dxa"/>
            <w:vAlign w:val="bottom"/>
          </w:tcPr>
          <w:p>
            <w:pPr>
              <w:spacing w:after="0"/>
              <w:rPr>
                <w:sz w:val="1"/>
                <w:szCs w:val="1"/>
                <w:color w:val="auto"/>
              </w:rPr>
            </w:pPr>
          </w:p>
        </w:tc>
      </w:tr>
      <w:tr>
        <w:trPr>
          <w:trHeight w:val="180"/>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Cost of revenues</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404,522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451,928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446,907</w:t>
            </w:r>
          </w:p>
        </w:tc>
        <w:tc>
          <w:tcPr>
            <w:tcW w:w="0" w:type="dxa"/>
            <w:vAlign w:val="bottom"/>
          </w:tcPr>
          <w:p>
            <w:pPr>
              <w:spacing w:after="0"/>
              <w:rPr>
                <w:sz w:val="1"/>
                <w:szCs w:val="1"/>
                <w:color w:val="auto"/>
              </w:rPr>
            </w:pPr>
          </w:p>
        </w:tc>
      </w:tr>
      <w:tr>
        <w:trPr>
          <w:trHeight w:val="171"/>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258,580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296,009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322,767</w:t>
            </w:r>
          </w:p>
        </w:tc>
        <w:tc>
          <w:tcPr>
            <w:tcW w:w="0" w:type="dxa"/>
            <w:vAlign w:val="bottom"/>
          </w:tcPr>
          <w:p>
            <w:pPr>
              <w:spacing w:after="0"/>
              <w:rPr>
                <w:sz w:val="1"/>
                <w:szCs w:val="1"/>
                <w:color w:val="auto"/>
              </w:rPr>
            </w:pPr>
          </w:p>
        </w:tc>
      </w:tr>
      <w:tr>
        <w:trPr>
          <w:trHeight w:val="180"/>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100,937</w:t>
            </w:r>
          </w:p>
        </w:tc>
        <w:tc>
          <w:tcPr>
            <w:tcW w:w="0" w:type="dxa"/>
            <w:vAlign w:val="bottom"/>
          </w:tcPr>
          <w:p>
            <w:pPr>
              <w:spacing w:after="0"/>
              <w:rPr>
                <w:sz w:val="1"/>
                <w:szCs w:val="1"/>
                <w:color w:val="auto"/>
              </w:rPr>
            </w:pPr>
          </w:p>
        </w:tc>
      </w:tr>
      <w:tr>
        <w:trPr>
          <w:trHeight w:val="180"/>
        </w:trPr>
        <w:tc>
          <w:tcPr>
            <w:tcW w:w="67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133,012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131,875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123,792</w:t>
            </w:r>
          </w:p>
        </w:tc>
        <w:tc>
          <w:tcPr>
            <w:tcW w:w="0" w:type="dxa"/>
            <w:vAlign w:val="bottom"/>
          </w:tcPr>
          <w:p>
            <w:pPr>
              <w:spacing w:after="0"/>
              <w:rPr>
                <w:sz w:val="1"/>
                <w:szCs w:val="1"/>
                <w:color w:val="auto"/>
              </w:rPr>
            </w:pPr>
          </w:p>
        </w:tc>
      </w:tr>
      <w:tr>
        <w:trPr>
          <w:trHeight w:val="171"/>
        </w:trPr>
        <w:tc>
          <w:tcPr>
            <w:tcW w:w="6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248,777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241,097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224,729</w:t>
            </w:r>
          </w:p>
        </w:tc>
        <w:tc>
          <w:tcPr>
            <w:tcW w:w="0" w:type="dxa"/>
            <w:vAlign w:val="bottom"/>
          </w:tcPr>
          <w:p>
            <w:pPr>
              <w:spacing w:after="0"/>
              <w:rPr>
                <w:sz w:val="1"/>
                <w:szCs w:val="1"/>
                <w:color w:val="auto"/>
              </w:rPr>
            </w:pPr>
          </w:p>
        </w:tc>
      </w:tr>
      <w:tr>
        <w:trPr>
          <w:trHeight w:val="180"/>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Gain on sale of business</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82,756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54,912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98,038</w:t>
            </w:r>
          </w:p>
        </w:tc>
        <w:tc>
          <w:tcPr>
            <w:tcW w:w="0" w:type="dxa"/>
            <w:vAlign w:val="bottom"/>
          </w:tcPr>
          <w:p>
            <w:pPr>
              <w:spacing w:after="0"/>
              <w:rPr>
                <w:sz w:val="1"/>
                <w:szCs w:val="1"/>
                <w:color w:val="auto"/>
              </w:rPr>
            </w:pPr>
          </w:p>
        </w:tc>
      </w:tr>
      <w:tr>
        <w:trPr>
          <w:trHeight w:val="180"/>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80"/>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171"/>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98,500</w:t>
            </w:r>
          </w:p>
        </w:tc>
        <w:tc>
          <w:tcPr>
            <w:tcW w:w="0" w:type="dxa"/>
            <w:vAlign w:val="bottom"/>
          </w:tcPr>
          <w:p>
            <w:pPr>
              <w:spacing w:after="0"/>
              <w:rPr>
                <w:sz w:val="1"/>
                <w:szCs w:val="1"/>
                <w:color w:val="auto"/>
              </w:rPr>
            </w:pPr>
          </w:p>
        </w:tc>
      </w:tr>
      <w:tr>
        <w:trPr>
          <w:trHeight w:val="180"/>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14,576</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82,387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50,738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83,924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Net income per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60" w:type="dxa"/>
            <w:vAlign w:val="bottom"/>
          </w:tcPr>
          <w:p>
            <w:pPr>
              <w:ind w:left="10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1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0.65</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number of shares used in per share calculations:</w:t>
            </w: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77,370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77,578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77,787</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78,159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78,201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79,133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70" w:right="319" w:bottom="1440" w:gutter="0" w:footer="0" w:header="0"/>
        </w:sectPr>
      </w:pPr>
    </w:p>
    <w:bookmarkStart w:id="50" w:name="page51"/>
    <w:bookmarkEnd w:id="5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Fiscal Year Ended</w:t>
            </w: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61"/>
        </w:trPr>
        <w:tc>
          <w:tcPr>
            <w:tcW w:w="6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December 25, 2021</w:t>
            </w:r>
          </w:p>
        </w:tc>
      </w:tr>
      <w:tr>
        <w:trPr>
          <w:trHeight w:val="173"/>
        </w:trPr>
        <w:tc>
          <w:tcPr>
            <w:tcW w:w="6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83,924</w:t>
            </w:r>
          </w:p>
        </w:tc>
      </w:tr>
      <w:tr>
        <w:trPr>
          <w:trHeight w:val="180"/>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Translation adjustments</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w:t>
            </w:r>
          </w:p>
        </w:tc>
      </w:tr>
      <w:tr>
        <w:trPr>
          <w:trHeight w:val="180"/>
        </w:trPr>
        <w:tc>
          <w:tcPr>
            <w:tcW w:w="6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gains (losses) on available-for-sale marketable securities</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r>
      <w:tr>
        <w:trPr>
          <w:trHeight w:val="180"/>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Unrealized gains (losses) on derivative instruments</w:t>
            </w: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r>
      <w:tr>
        <w:trPr>
          <w:trHeight w:val="171"/>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(4,129)</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(7,335)</w:t>
            </w:r>
          </w:p>
        </w:tc>
      </w:tr>
      <w:tr>
        <w:trPr>
          <w:trHeight w:val="196"/>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83,913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46,609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76,589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70" w:right="319" w:bottom="1440" w:gutter="0" w:footer="0" w:header="0"/>
        </w:sectPr>
      </w:pPr>
    </w:p>
    <w:bookmarkStart w:id="51" w:name="page52"/>
    <w:bookmarkEnd w:id="51"/>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80" w:type="dxa"/>
            <w:vAlign w:val="bottom"/>
          </w:tcPr>
          <w:p>
            <w:pPr>
              <w:spacing w:after="0"/>
              <w:rPr>
                <w:sz w:val="11"/>
                <w:szCs w:val="11"/>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44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3"/>
            <w:vMerge w:val="restart"/>
          </w:tcPr>
          <w:p>
            <w:pPr>
              <w:ind w:left="40"/>
              <w:spacing w:after="0" w:line="106" w:lineRule="exact"/>
              <w:rPr>
                <w:sz w:val="20"/>
                <w:szCs w:val="20"/>
                <w:color w:val="auto"/>
              </w:rPr>
            </w:pPr>
            <w:r>
              <w:rPr>
                <w:rFonts w:ascii="Times New Roman" w:cs="Times New Roman" w:eastAsia="Times New Roman" w:hAnsi="Times New Roman"/>
                <w:sz w:val="11"/>
                <w:szCs w:val="11"/>
                <w:b w:val="1"/>
                <w:bCs w:val="1"/>
                <w:color w:val="auto"/>
              </w:rPr>
              <w:t>Additional Paid-in</w:t>
            </w:r>
          </w:p>
        </w:tc>
        <w:tc>
          <w:tcPr>
            <w:tcW w:w="80" w:type="dxa"/>
            <w:vAlign w:val="bottom"/>
          </w:tcPr>
          <w:p>
            <w:pPr>
              <w:spacing w:after="0"/>
              <w:rPr>
                <w:sz w:val="4"/>
                <w:szCs w:val="4"/>
                <w:color w:val="auto"/>
              </w:rPr>
            </w:pPr>
          </w:p>
        </w:tc>
        <w:tc>
          <w:tcPr>
            <w:tcW w:w="1320" w:type="dxa"/>
            <w:vAlign w:val="bottom"/>
            <w:gridSpan w:val="2"/>
            <w:vMerge w:val="restart"/>
          </w:tcPr>
          <w:p>
            <w:pPr>
              <w:jc w:val="center"/>
              <w:ind w:right="180"/>
              <w:spacing w:after="0" w:line="106" w:lineRule="exact"/>
              <w:rPr>
                <w:sz w:val="20"/>
                <w:szCs w:val="20"/>
                <w:color w:val="auto"/>
              </w:rPr>
            </w:pPr>
            <w:r>
              <w:rPr>
                <w:rFonts w:ascii="Times New Roman" w:cs="Times New Roman" w:eastAsia="Times New Roman" w:hAnsi="Times New Roman"/>
                <w:sz w:val="11"/>
                <w:szCs w:val="11"/>
                <w:b w:val="1"/>
                <w:bCs w:val="1"/>
                <w:color w:val="auto"/>
              </w:rPr>
              <w:t>Comprehensive Income</w:t>
            </w:r>
          </w:p>
        </w:tc>
        <w:tc>
          <w:tcPr>
            <w:tcW w:w="1240" w:type="dxa"/>
            <w:vAlign w:val="bottom"/>
            <w:gridSpan w:val="3"/>
            <w:vMerge w:val="restart"/>
          </w:tcPr>
          <w:p>
            <w:pPr>
              <w:ind w:left="60"/>
              <w:spacing w:after="0" w:line="106" w:lineRule="exact"/>
              <w:rPr>
                <w:sz w:val="20"/>
                <w:szCs w:val="20"/>
                <w:color w:val="auto"/>
              </w:rPr>
            </w:pPr>
            <w:r>
              <w:rPr>
                <w:rFonts w:ascii="Times New Roman" w:cs="Times New Roman" w:eastAsia="Times New Roman" w:hAnsi="Times New Roman"/>
                <w:sz w:val="11"/>
                <w:szCs w:val="11"/>
                <w:b w:val="1"/>
                <w:bCs w:val="1"/>
                <w:color w:val="auto"/>
              </w:rPr>
              <w:t>Accumulated Income</w:t>
            </w: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106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vMerge w:val="restart"/>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vMerge w:val="restart"/>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vMerge w:val="restart"/>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55"/>
        </w:trPr>
        <w:tc>
          <w:tcPr>
            <w:tcW w:w="4480" w:type="dxa"/>
            <w:vAlign w:val="bottom"/>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rPr>
              <w:t>(Loss)</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5"/>
          </w:tcPr>
          <w:p>
            <w:pPr>
              <w:ind w:left="440"/>
              <w:spacing w:after="0"/>
              <w:rPr>
                <w:sz w:val="20"/>
                <w:szCs w:val="20"/>
                <w:color w:val="auto"/>
              </w:rPr>
            </w:pPr>
            <w:r>
              <w:rPr>
                <w:rFonts w:ascii="Times New Roman" w:cs="Times New Roman" w:eastAsia="Times New Roman" w:hAnsi="Times New Roman"/>
                <w:sz w:val="11"/>
                <w:szCs w:val="11"/>
                <w:b w:val="1"/>
                <w:bCs w:val="1"/>
                <w:color w:val="auto"/>
              </w:rPr>
              <w:t>(In thousands, except shares)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Balances, December 26, 2020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77,437,997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903,838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(165,718)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744,084</w:t>
            </w:r>
          </w:p>
        </w:tc>
        <w:tc>
          <w:tcPr>
            <w:tcW w:w="0" w:type="dxa"/>
            <w:vAlign w:val="bottom"/>
          </w:tcPr>
          <w:p>
            <w:pPr>
              <w:spacing w:after="0"/>
              <w:rPr>
                <w:sz w:val="1"/>
                <w:szCs w:val="1"/>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the 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378,584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9,809</w:t>
            </w:r>
          </w:p>
        </w:tc>
        <w:tc>
          <w:tcPr>
            <w:tcW w:w="0" w:type="dxa"/>
            <w:vAlign w:val="bottom"/>
          </w:tcPr>
          <w:p>
            <w:pPr>
              <w:spacing w:after="0"/>
              <w:rPr>
                <w:sz w:val="1"/>
                <w:szCs w:val="1"/>
                <w:color w:val="auto"/>
              </w:rPr>
            </w:pPr>
          </w:p>
        </w:tc>
      </w:tr>
      <w:tr>
        <w:trPr>
          <w:trHeight w:val="172"/>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common stock pursuant to exercise of options for cash</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0" w:type="dxa"/>
            <w:vAlign w:val="bottom"/>
          </w:tcPr>
          <w:p>
            <w:pPr>
              <w:spacing w:after="0"/>
              <w:rPr>
                <w:sz w:val="1"/>
                <w:szCs w:val="1"/>
                <w:color w:val="auto"/>
              </w:rPr>
            </w:pPr>
          </w:p>
        </w:tc>
      </w:tr>
      <w:tr>
        <w:trPr>
          <w:trHeight w:val="127"/>
        </w:trPr>
        <w:tc>
          <w:tcPr>
            <w:tcW w:w="44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Issuance of common stock pursuant to vesting of restricted stock units, net of stock</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946,325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(20,604)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(20,603)</w:t>
            </w:r>
          </w:p>
        </w:tc>
        <w:tc>
          <w:tcPr>
            <w:tcW w:w="0" w:type="dxa"/>
            <w:vAlign w:val="bottom"/>
          </w:tcPr>
          <w:p>
            <w:pPr>
              <w:spacing w:after="0"/>
              <w:rPr>
                <w:sz w:val="1"/>
                <w:szCs w:val="1"/>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withheld for tax</w:t>
            </w: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and retirement of common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(622,400)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(24,037)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(24,038)</w:t>
            </w:r>
          </w:p>
        </w:tc>
        <w:tc>
          <w:tcPr>
            <w:tcW w:w="0" w:type="dxa"/>
            <w:vAlign w:val="bottom"/>
          </w:tcPr>
          <w:p>
            <w:pPr>
              <w:spacing w:after="0"/>
              <w:rPr>
                <w:sz w:val="1"/>
                <w:szCs w:val="1"/>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29,095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29,095</w:t>
            </w:r>
          </w:p>
        </w:tc>
        <w:tc>
          <w:tcPr>
            <w:tcW w:w="0" w:type="dxa"/>
            <w:vAlign w:val="bottom"/>
          </w:tcPr>
          <w:p>
            <w:pPr>
              <w:spacing w:after="0"/>
              <w:rPr>
                <w:sz w:val="1"/>
                <w:szCs w:val="1"/>
                <w:color w:val="auto"/>
              </w:rPr>
            </w:pPr>
          </w:p>
        </w:tc>
      </w:tr>
      <w:tr>
        <w:trPr>
          <w:trHeight w:val="172"/>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(7,335)</w:t>
            </w:r>
          </w:p>
        </w:tc>
        <w:tc>
          <w:tcPr>
            <w:tcW w:w="0" w:type="dxa"/>
            <w:vAlign w:val="bottom"/>
          </w:tcPr>
          <w:p>
            <w:pPr>
              <w:spacing w:after="0"/>
              <w:rPr>
                <w:sz w:val="1"/>
                <w:szCs w:val="1"/>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83,924</w:t>
            </w:r>
          </w:p>
        </w:tc>
        <w:tc>
          <w:tcPr>
            <w:tcW w:w="0" w:type="dxa"/>
            <w:vAlign w:val="bottom"/>
          </w:tcPr>
          <w:p>
            <w:pPr>
              <w:spacing w:after="0"/>
              <w:rPr>
                <w:sz w:val="1"/>
                <w:szCs w:val="1"/>
                <w:color w:val="auto"/>
              </w:rPr>
            </w:pPr>
          </w:p>
        </w:tc>
      </w:tr>
      <w:tr>
        <w:trPr>
          <w:trHeight w:val="163"/>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Balances, December 25,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78,240,506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898,945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(81,794)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815,780</w:t>
            </w:r>
          </w:p>
        </w:tc>
        <w:tc>
          <w:tcPr>
            <w:tcW w:w="0" w:type="dxa"/>
            <w:vAlign w:val="bottom"/>
          </w:tcPr>
          <w:p>
            <w:pPr>
              <w:spacing w:after="0"/>
              <w:rPr>
                <w:sz w:val="1"/>
                <w:szCs w:val="1"/>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the 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316,861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10,457</w:t>
            </w:r>
          </w:p>
        </w:tc>
        <w:tc>
          <w:tcPr>
            <w:tcW w:w="0" w:type="dxa"/>
            <w:vAlign w:val="bottom"/>
          </w:tcPr>
          <w:p>
            <w:pPr>
              <w:spacing w:after="0"/>
              <w:rPr>
                <w:sz w:val="1"/>
                <w:szCs w:val="1"/>
                <w:color w:val="auto"/>
              </w:rPr>
            </w:pPr>
          </w:p>
        </w:tc>
      </w:tr>
      <w:tr>
        <w:trPr>
          <w:trHeight w:val="172"/>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common stock pursuant to exercise of options for cash</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27"/>
        </w:trPr>
        <w:tc>
          <w:tcPr>
            <w:tcW w:w="44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Issuance of common stock pursuant to vesting of restricted stock units, net of stock</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728,524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(15,706)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(15,705)</w:t>
            </w:r>
          </w:p>
        </w:tc>
        <w:tc>
          <w:tcPr>
            <w:tcW w:w="0" w:type="dxa"/>
            <w:vAlign w:val="bottom"/>
          </w:tcPr>
          <w:p>
            <w:pPr>
              <w:spacing w:after="0"/>
              <w:rPr>
                <w:sz w:val="1"/>
                <w:szCs w:val="1"/>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withheld for tax</w:t>
            </w: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and retirement of common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(2,377,301)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(82,326)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(82,328)</w:t>
            </w:r>
          </w:p>
        </w:tc>
        <w:tc>
          <w:tcPr>
            <w:tcW w:w="0" w:type="dxa"/>
            <w:vAlign w:val="bottom"/>
          </w:tcPr>
          <w:p>
            <w:pPr>
              <w:spacing w:after="0"/>
              <w:rPr>
                <w:sz w:val="1"/>
                <w:szCs w:val="1"/>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33,430</w:t>
            </w:r>
          </w:p>
        </w:tc>
        <w:tc>
          <w:tcPr>
            <w:tcW w:w="0" w:type="dxa"/>
            <w:vAlign w:val="bottom"/>
          </w:tcPr>
          <w:p>
            <w:pPr>
              <w:spacing w:after="0"/>
              <w:rPr>
                <w:sz w:val="1"/>
                <w:szCs w:val="1"/>
                <w:color w:val="auto"/>
              </w:rPr>
            </w:pPr>
          </w:p>
        </w:tc>
      </w:tr>
      <w:tr>
        <w:trPr>
          <w:trHeight w:val="172"/>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(4,129)</w:t>
            </w:r>
          </w:p>
        </w:tc>
        <w:tc>
          <w:tcPr>
            <w:tcW w:w="0" w:type="dxa"/>
            <w:vAlign w:val="bottom"/>
          </w:tcPr>
          <w:p>
            <w:pPr>
              <w:spacing w:after="0"/>
              <w:rPr>
                <w:sz w:val="1"/>
                <w:szCs w:val="1"/>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50,738</w:t>
            </w:r>
          </w:p>
        </w:tc>
        <w:tc>
          <w:tcPr>
            <w:tcW w:w="0" w:type="dxa"/>
            <w:vAlign w:val="bottom"/>
          </w:tcPr>
          <w:p>
            <w:pPr>
              <w:spacing w:after="0"/>
              <w:rPr>
                <w:sz w:val="1"/>
                <w:szCs w:val="1"/>
                <w:color w:val="auto"/>
              </w:rPr>
            </w:pPr>
          </w:p>
        </w:tc>
      </w:tr>
      <w:tr>
        <w:trPr>
          <w:trHeight w:val="163"/>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Balances, December 31,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76,914,590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844,842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(31,056)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808,285</w:t>
            </w:r>
          </w:p>
        </w:tc>
        <w:tc>
          <w:tcPr>
            <w:tcW w:w="0" w:type="dxa"/>
            <w:vAlign w:val="bottom"/>
          </w:tcPr>
          <w:p>
            <w:pPr>
              <w:spacing w:after="0"/>
              <w:rPr>
                <w:sz w:val="1"/>
                <w:szCs w:val="1"/>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the 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363,190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8,822</w:t>
            </w:r>
          </w:p>
        </w:tc>
        <w:tc>
          <w:tcPr>
            <w:tcW w:w="0" w:type="dxa"/>
            <w:vAlign w:val="bottom"/>
          </w:tcPr>
          <w:p>
            <w:pPr>
              <w:spacing w:after="0"/>
              <w:rPr>
                <w:sz w:val="1"/>
                <w:szCs w:val="1"/>
                <w:color w:val="auto"/>
              </w:rPr>
            </w:pPr>
          </w:p>
        </w:tc>
      </w:tr>
      <w:tr>
        <w:trPr>
          <w:trHeight w:val="129"/>
        </w:trPr>
        <w:tc>
          <w:tcPr>
            <w:tcW w:w="44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Issuance of common stock pursuant to vesting of restricted stock units, net of stock</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635,495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(10,687)</w:t>
            </w:r>
          </w:p>
        </w:tc>
        <w:tc>
          <w:tcPr>
            <w:tcW w:w="0" w:type="dxa"/>
            <w:vAlign w:val="bottom"/>
          </w:tcPr>
          <w:p>
            <w:pPr>
              <w:spacing w:after="0"/>
              <w:rPr>
                <w:sz w:val="1"/>
                <w:szCs w:val="1"/>
                <w:color w:val="auto"/>
              </w:rPr>
            </w:pPr>
          </w:p>
        </w:tc>
      </w:tr>
      <w:tr>
        <w:trPr>
          <w:trHeight w:val="17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withheld for tax</w:t>
            </w: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Purchase and retirement of common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(536,372)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(19,801)</w:t>
            </w:r>
          </w:p>
        </w:tc>
        <w:tc>
          <w:tcPr>
            <w:tcW w:w="0" w:type="dxa"/>
            <w:vAlign w:val="bottom"/>
          </w:tcPr>
          <w:p>
            <w:pPr>
              <w:spacing w:after="0"/>
              <w:rPr>
                <w:sz w:val="1"/>
                <w:szCs w:val="1"/>
                <w:color w:val="auto"/>
              </w:rPr>
            </w:pPr>
          </w:p>
        </w:tc>
      </w:tr>
      <w:tr>
        <w:trPr>
          <w:trHeight w:val="172"/>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38,272</w:t>
            </w:r>
          </w:p>
        </w:tc>
        <w:tc>
          <w:tcPr>
            <w:tcW w:w="0" w:type="dxa"/>
            <w:vAlign w:val="bottom"/>
          </w:tcPr>
          <w:p>
            <w:pPr>
              <w:spacing w:after="0"/>
              <w:rPr>
                <w:sz w:val="1"/>
                <w:szCs w:val="1"/>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w:t>
            </w:r>
          </w:p>
        </w:tc>
        <w:tc>
          <w:tcPr>
            <w:tcW w:w="0" w:type="dxa"/>
            <w:vAlign w:val="bottom"/>
          </w:tcPr>
          <w:p>
            <w:pPr>
              <w:spacing w:after="0"/>
              <w:rPr>
                <w:sz w:val="1"/>
                <w:szCs w:val="1"/>
                <w:color w:val="auto"/>
              </w:rPr>
            </w:pPr>
          </w:p>
        </w:tc>
      </w:tr>
      <w:tr>
        <w:trPr>
          <w:trHeight w:val="17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82,387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82,387</w:t>
            </w:r>
          </w:p>
        </w:tc>
        <w:tc>
          <w:tcPr>
            <w:tcW w:w="0" w:type="dxa"/>
            <w:vAlign w:val="bottom"/>
          </w:tcPr>
          <w:p>
            <w:pPr>
              <w:spacing w:after="0"/>
              <w:rPr>
                <w:sz w:val="1"/>
                <w:szCs w:val="1"/>
                <w:color w:val="auto"/>
              </w:rPr>
            </w:pPr>
          </w:p>
        </w:tc>
      </w:tr>
      <w:tr>
        <w:trPr>
          <w:trHeight w:val="163"/>
        </w:trPr>
        <w:tc>
          <w:tcPr>
            <w:tcW w:w="4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Balances, December 30, 2023</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77,376,903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861,448</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(4,052)</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51,331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908,804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7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Fiscal Year Ended</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7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8"/>
              </w:rPr>
              <w:t>December 25, 2021</w:t>
            </w:r>
          </w:p>
        </w:tc>
      </w:tr>
      <w:tr>
        <w:trPr>
          <w:trHeight w:val="184"/>
        </w:trPr>
        <w:tc>
          <w:tcPr>
            <w:tcW w:w="7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8"/>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82,387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50,738</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83,924</w:t>
            </w:r>
          </w:p>
        </w:tc>
      </w:tr>
      <w:tr>
        <w:trPr>
          <w:trHeight w:val="17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8"/>
        </w:trPr>
        <w:tc>
          <w:tcPr>
            <w:tcW w:w="71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Depreciation</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25,772</w:t>
            </w:r>
          </w:p>
        </w:tc>
      </w:tr>
      <w:tr>
        <w:trPr>
          <w:trHeight w:val="172"/>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Amortization</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18,747</w:t>
            </w:r>
          </w:p>
        </w:tc>
      </w:tr>
      <w:tr>
        <w:trPr>
          <w:trHeight w:val="168"/>
        </w:trPr>
        <w:tc>
          <w:tcPr>
            <w:tcW w:w="71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Amortization (accretion) of discount on investments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w:t>
            </w:r>
          </w:p>
        </w:tc>
      </w:tr>
      <w:tr>
        <w:trPr>
          <w:trHeight w:val="172"/>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Reduction in the carrying amount of right-of-use assets</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8,153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7,172</w:t>
            </w:r>
          </w:p>
        </w:tc>
      </w:tr>
      <w:tr>
        <w:trPr>
          <w:trHeight w:val="168"/>
        </w:trPr>
        <w:tc>
          <w:tcPr>
            <w:tcW w:w="71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31,337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29,384</w:t>
            </w:r>
          </w:p>
        </w:tc>
      </w:tr>
      <w:tr>
        <w:trPr>
          <w:trHeight w:val="172"/>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Deferred income tax provision (benefit)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3,869</w:t>
            </w:r>
          </w:p>
        </w:tc>
      </w:tr>
      <w:tr>
        <w:trPr>
          <w:trHeight w:val="168"/>
        </w:trPr>
        <w:tc>
          <w:tcPr>
            <w:tcW w:w="71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Gain on sale of business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Provision for excess and obsolete inventories</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24,632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15,544</w:t>
            </w:r>
          </w:p>
        </w:tc>
      </w:tr>
      <w:tr>
        <w:trPr>
          <w:trHeight w:val="168"/>
        </w:trPr>
        <w:tc>
          <w:tcPr>
            <w:tcW w:w="71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Acquired inventory step-up amortization</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w:t>
            </w:r>
          </w:p>
        </w:tc>
      </w:tr>
      <w:tr>
        <w:trPr>
          <w:trHeight w:val="172"/>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Loss on disposal of long-lived assets</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w:t>
            </w:r>
          </w:p>
        </w:tc>
      </w:tr>
      <w:tr>
        <w:trPr>
          <w:trHeight w:val="168"/>
        </w:trPr>
        <w:tc>
          <w:tcPr>
            <w:tcW w:w="71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Non-cash restructuring charges</w:t>
            </w: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1,646</w:t>
            </w:r>
          </w:p>
        </w:tc>
      </w:tr>
      <w:tr>
        <w:trPr>
          <w:trHeight w:val="172"/>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Gain on contingent consideration</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68"/>
        </w:trPr>
        <w:tc>
          <w:tcPr>
            <w:tcW w:w="71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Foreign currency transaction losses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1,582</w:t>
            </w:r>
          </w:p>
        </w:tc>
      </w:tr>
      <w:tr>
        <w:trPr>
          <w:trHeight w:val="172"/>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than temporary impairment on debt receivable</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7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Accounts receivable</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26,028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(9,086)</w:t>
            </w:r>
          </w:p>
        </w:tc>
      </w:tr>
      <w:tr>
        <w:trPr>
          <w:trHeight w:val="168"/>
        </w:trPr>
        <w:tc>
          <w:tcPr>
            <w:tcW w:w="71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Inventories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(28,780)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(31,655)</w:t>
            </w:r>
          </w:p>
        </w:tc>
      </w:tr>
      <w:tr>
        <w:trPr>
          <w:trHeight w:val="172"/>
        </w:trPr>
        <w:tc>
          <w:tcPr>
            <w:tcW w:w="7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3,808</w:t>
            </w:r>
          </w:p>
        </w:tc>
      </w:tr>
      <w:tr>
        <w:trPr>
          <w:trHeight w:val="168"/>
        </w:trPr>
        <w:tc>
          <w:tcPr>
            <w:tcW w:w="71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Other assets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w:t>
            </w:r>
          </w:p>
        </w:tc>
      </w:tr>
      <w:tr>
        <w:trPr>
          <w:trHeight w:val="172"/>
        </w:trPr>
        <w:tc>
          <w:tcPr>
            <w:tcW w:w="7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Accounts payable</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(6,589)</w:t>
            </w:r>
          </w:p>
        </w:tc>
      </w:tr>
      <w:tr>
        <w:trPr>
          <w:trHeight w:val="168"/>
        </w:trPr>
        <w:tc>
          <w:tcPr>
            <w:tcW w:w="71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Accrued liabilities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w:t>
            </w:r>
          </w:p>
        </w:tc>
      </w:tr>
      <w:tr>
        <w:trPr>
          <w:trHeight w:val="172"/>
        </w:trPr>
        <w:tc>
          <w:tcPr>
            <w:tcW w:w="7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Other liabilities</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w:t>
            </w:r>
          </w:p>
        </w:tc>
      </w:tr>
      <w:tr>
        <w:trPr>
          <w:trHeight w:val="168"/>
        </w:trPr>
        <w:tc>
          <w:tcPr>
            <w:tcW w:w="71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Deferred revenues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1,974</w:t>
            </w:r>
          </w:p>
        </w:tc>
      </w:tr>
      <w:tr>
        <w:trPr>
          <w:trHeight w:val="172"/>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Deferred grant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(7,615)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(8,016)</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(7,442)</w:t>
            </w:r>
          </w:p>
        </w:tc>
      </w:tr>
      <w:tr>
        <w:trPr>
          <w:trHeight w:val="16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131,786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139,364</w:t>
            </w:r>
          </w:p>
        </w:tc>
      </w:tr>
      <w:tr>
        <w:trPr>
          <w:trHeight w:val="169"/>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Acquisition of property, plant and equipment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(65,254)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(66,496)</w:t>
            </w:r>
          </w:p>
        </w:tc>
      </w:tr>
      <w:tr>
        <w:trPr>
          <w:trHeight w:val="168"/>
        </w:trPr>
        <w:tc>
          <w:tcPr>
            <w:tcW w:w="71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Acquisition of business, net of cash acquired</w:t>
            </w: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Proceeds from sale of business</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101,785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1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Purchase of promissory note receivable</w:t>
            </w:r>
          </w:p>
        </w:tc>
        <w:tc>
          <w:tcPr>
            <w:tcW w:w="1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(135,462)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(101,894)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(149,979)</w:t>
            </w:r>
          </w:p>
        </w:tc>
      </w:tr>
      <w:tr>
        <w:trPr>
          <w:trHeight w:val="168"/>
        </w:trPr>
        <w:tc>
          <w:tcPr>
            <w:tcW w:w="71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Proceeds from maturities of marketable securities</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118,753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95,794</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91,734</w:t>
            </w:r>
          </w:p>
        </w:tc>
      </w:tr>
      <w:tr>
        <w:trPr>
          <w:trHeight w:val="16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(used in) investing activities</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29,049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(124,741)</w:t>
            </w:r>
          </w:p>
        </w:tc>
      </w:tr>
      <w:tr>
        <w:trPr>
          <w:trHeight w:val="169"/>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Proceeds from issuances of common stock</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10,653</w:t>
            </w:r>
          </w:p>
        </w:tc>
      </w:tr>
      <w:tr>
        <w:trPr>
          <w:trHeight w:val="168"/>
        </w:trPr>
        <w:tc>
          <w:tcPr>
            <w:tcW w:w="71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Purchase of common stock through stock repurchase program</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(82,328)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(24,038)</w:t>
            </w:r>
          </w:p>
        </w:tc>
      </w:tr>
      <w:tr>
        <w:trPr>
          <w:trHeight w:val="172"/>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Tax withholdings related to net share settlements of equity awards</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(15,705)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(20,604)</w:t>
            </w:r>
          </w:p>
        </w:tc>
      </w:tr>
      <w:tr>
        <w:trPr>
          <w:trHeight w:val="168"/>
        </w:trPr>
        <w:tc>
          <w:tcPr>
            <w:tcW w:w="71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Payments on term loan</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(9,337)</w:t>
            </w:r>
          </w:p>
        </w:tc>
      </w:tr>
      <w:tr>
        <w:trPr>
          <w:trHeight w:val="172"/>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Payment of contingent consideration</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(3,873)</w:t>
            </w:r>
          </w:p>
        </w:tc>
      </w:tr>
      <w:tr>
        <w:trPr>
          <w:trHeight w:val="158"/>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(22,711)</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(95,932)</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(47,199)</w:t>
            </w:r>
          </w:p>
        </w:tc>
      </w:tr>
      <w:tr>
        <w:trPr>
          <w:trHeight w:val="17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(2,649)</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(2,510)</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(3,180)</w:t>
            </w:r>
          </w:p>
        </w:tc>
      </w:tr>
      <w:tr>
        <w:trPr>
          <w:trHeight w:val="158"/>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(42,360)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(35,756)</w:t>
            </w:r>
          </w:p>
        </w:tc>
      </w:tr>
      <w:tr>
        <w:trPr>
          <w:trHeight w:val="17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year</w:t>
            </w: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112,982</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155,342</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191,098</w:t>
            </w:r>
          </w:p>
        </w:tc>
      </w:tr>
      <w:tr>
        <w:trPr>
          <w:trHeight w:val="163"/>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end of year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181,273</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112,982</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155,342</w:t>
            </w:r>
          </w:p>
        </w:tc>
      </w:tr>
      <w:tr>
        <w:trPr>
          <w:trHeight w:val="20"/>
        </w:trPr>
        <w:tc>
          <w:tcPr>
            <w:tcW w:w="7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Fiscal Year Ended</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7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8"/>
              </w:rPr>
              <w:t>December 25, 2021</w:t>
            </w:r>
          </w:p>
        </w:tc>
      </w:tr>
      <w:tr>
        <w:trPr>
          <w:trHeight w:val="173"/>
        </w:trPr>
        <w:tc>
          <w:tcPr>
            <w:tcW w:w="7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8"/>
        </w:trPr>
        <w:tc>
          <w:tcPr>
            <w:tcW w:w="71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Operating lease, right-of-use assets obtained in exchange for lease obligations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4,975</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12,254</w:t>
            </w:r>
          </w:p>
        </w:tc>
      </w:tr>
      <w:tr>
        <w:trPr>
          <w:trHeight w:val="172"/>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Increase (decrease) in accounts payable and accrued liabilities related to property, plant and equipment purchases</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2,711</w:t>
            </w:r>
          </w:p>
        </w:tc>
      </w:tr>
      <w:tr>
        <w:trPr>
          <w:trHeight w:val="170"/>
        </w:trPr>
        <w:tc>
          <w:tcPr>
            <w:tcW w:w="7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8"/>
        </w:trPr>
        <w:tc>
          <w:tcPr>
            <w:tcW w:w="71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Income taxes paid, net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17,385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10,917</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7,957</w:t>
            </w:r>
          </w:p>
        </w:tc>
      </w:tr>
      <w:tr>
        <w:trPr>
          <w:trHeight w:val="172"/>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Cash paid for interest, net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w:t>
            </w:r>
          </w:p>
        </w:tc>
      </w:tr>
      <w:tr>
        <w:trPr>
          <w:trHeight w:val="168"/>
        </w:trPr>
        <w:tc>
          <w:tcPr>
            <w:tcW w:w="71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Operating cash outflows from operating leases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8,520</w:t>
            </w:r>
          </w:p>
        </w:tc>
      </w:tr>
      <w:tr>
        <w:trPr>
          <w:trHeight w:val="172"/>
        </w:trPr>
        <w:tc>
          <w:tcPr>
            <w:tcW w:w="7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9"/>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cash, cash equivalents and restricted cash:</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177,812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109,130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151,010</w:t>
            </w:r>
          </w:p>
        </w:tc>
      </w:tr>
      <w:tr>
        <w:trPr>
          <w:trHeight w:val="168"/>
        </w:trPr>
        <w:tc>
          <w:tcPr>
            <w:tcW w:w="71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Restricted cash, current</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2,233</w:t>
            </w:r>
          </w:p>
        </w:tc>
      </w:tr>
      <w:tr>
        <w:trPr>
          <w:trHeight w:val="170"/>
        </w:trPr>
        <w:tc>
          <w:tcPr>
            <w:tcW w:w="7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Restricted cash</w:t>
            </w: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2,309</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2,099</w:t>
            </w:r>
          </w:p>
        </w:tc>
      </w:tr>
      <w:tr>
        <w:trPr>
          <w:trHeight w:val="163"/>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cash, cash equivalents and restricted cash</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181,273</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112,982</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155,342</w:t>
            </w:r>
          </w:p>
        </w:tc>
      </w:tr>
      <w:tr>
        <w:trPr>
          <w:trHeight w:val="20"/>
        </w:trPr>
        <w:tc>
          <w:tcPr>
            <w:tcW w:w="7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1—Formation and Nature of Business</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FormFactor, Inc. is a leading provider of essential test and measurement technologies along the full semiconductor product lifecycle - from characterization, modeling, reliability, and design de-bug, to qualification and production test. We provide a broad range of high-performance probe cards, analytical probes, probe stations, metrology systems, thermal systems, and cryogenic systems to both semiconductor companies and scientific institutions. Our products provide electrical information from a variety of semiconductor and electro-optical devices and integrated circuits from early research, through development, to high-volume production. Customers use our products and services to accelerate profitability by optimizing device performance, reducing scrap, and improving yields.</w:t>
      </w:r>
    </w:p>
    <w:p>
      <w:pPr>
        <w:spacing w:after="0" w:line="3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Design, development and manufacturing operations are located in Livermore, Carlsbad, and Baldwin Park, California; Beaverton, Oregon; Boulder, Colorado; and Woburn, Massachusetts, all in the United States; Munich and Thiendorf, Germany, and sales, service and support operations are located in the United States, Germany, France, Italy, South Korea, Japan, Taiwan, China and Singapore.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Fiscal Year</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Our fiscal year ends on the last Saturday in December. The fiscal years ended on December 30, 2023, December 31, 2022 and December 25, 2021 consisted of 52 weeks, 53 weeks, and 52 weeks, respectively. The first three fiscal quarters in our fiscal year ended December 31, 2022 contained 13 weeks, and the fourth fiscal quarter contained 14 weeks.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2—Summary of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Consolidation and Foreign Currency Translation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consolidated financial statements include our accounts and those of our wholly-owned subsidiaries. All intercompany balances and transactions have been eliminated.</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functional currencies of certain of our foreign subsidiaries are the local currencies and, accordingly, all assets and liabilities of these foreign operations are translated to U.S. Dollars at current period-end exchange rates, and revenues and expenses are translated to U.S. Dollars using average exchange rates in effect during the period. The gains and losses from the foreign currency translation of these subsidiaries' financial statements are included as a separate component of stockholders' equity on our Consolidated Balance Sheets under Accumulated other comprehensive loss.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Certain other of our foreign subsidiaries use the U.S. Dollar as their functional currency. Accordingly, monetary assets and liabilities in non-functional currencies of these subsidiaries are remeasured using exchange rates in effect at the end of the period. Revenues and costs in local currency are remeasured using average exchange rates for the period, except for costs related to those balance sheet items that are remeasured using historical exchange rates. The resulting remeasurement gains and losses are included in the Consolidated Statements of Income as a component of Other income (expense), net as incurred.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accounting principles generally accepted in the United States of America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may change as new information is obtained. We believe that the estimates, assumptions and judgments involved in revenue recognition, fair value of marketable securities, fair value of derivative financial instruments used to hedge both foreign currency and interest rate exposures, allowance for credit losses, reserves for product warranty, valuation of obsolete and slow moving inventory, assets acquired and liabilities assumed in business combinations, legal contingencies, valuation of goodwill, the assessment of recoverability of long-lived assets, valuation and recognition of stock-based compensation, loss contingencies, provision for income taxes and valuation of deferred tax assets have the greatest potential impact on our consolidated financial statements. Actual results could differ from those estimates.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Acquisitions</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Our consolidated financial statements include the operations of acquired businesses after the completion of their respective acquisitions. We account for acquired businesses using the acquisition method of accounting, which requires, among other things, that assets acquired and liabilities assumed be recognized at their estimated fair values as of the acquisition date, and</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that the fair value of acquired intangibles be recorded on the balance sheet. Transaction costs are expensed as incurred. Any excess of the purchase price over the assigned fair values of the net assets acquired is recorded as goodwill.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 and Marketable Securities</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Cash and cash equivalents consist of deposits and financial instruments which are readily convertible into cash and have original maturities of 90 days or less at the time of acquisition. Marketable securities consist primarily of highly liquid investments with maturities of greater than 90 days when purchased. We classify our available-for-sale marketable securities as current assets because they represent investments of cash available for current operations. As a result, the Company recorded all its marketable securities in short-term investments regardless of the contractual maturity date of the securities. Furthermore, we report them at fair value with the related unrealized gains and losses included in Accumulated other comprehensive loss in our Consolidated Balance Sheets. Any unrealized losses which are considered to be other-than-temporary are recorded in Other income (expense), net, in the Consolidated Statements of Income. Realized gains and losses on the sale of marketable securities are determined using the specific-identification method and recorded in Other income (expense), net, in the Consolidated Statements of Income.</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All of our available-for-sale investments are subject to a periodic impairment review. If an available-for-sale debt security’s fair value is less than its amortized cost basis, then we evaluate whether the decline is the result of a credit loss, in which case an impairment is recorded through an allowance for credit losses. Unrealized gains and losses not attributable to credit losses are included, net of tax, in Accumulated other comprehensive loss in our Consolidated Balance Sheets. We did not record an allowance for credit losses related to our available-for-sale investments during fiscal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Exchange Management</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transact business in various foreign currencies. We enter into forward foreign exchange contracts in an effort to mitigate the risks associated with currency fluctuations on certain foreign currency balance sheet exposures and certain operational costs denominated in local currency impacting our statement of income. For accounting purposes, certain of our foreign currency forward contracts are not designated as hedging instruments and, accordingly, we record the fair value of these contracts as of the end of our reporting period in our Consolidated Balance Sheets with changes in fair value recorded within Other income (expense), net in our Consolidated Statements of Income for both realized and unrealized gains and losses. Certain of our foreign currency forward contracts are designated as cash flow hedges, and, accordingly, we record the fair value of these contracts as of the end of our reporting period in our Consolidated Balance Sheets with changes in fair value recorded as a component of Accumulated other comprehensive loss and reclassified into earnings in the same period in which the hedged transaction affects earnings, and in the same line item on the Consolidated Statements of Income as the impact of the hedge transaction. We do not use derivative financial instruments for trading or speculative purposes.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and Allowance for Credit Losses</w:t>
      </w:r>
    </w:p>
    <w:p>
      <w:pPr>
        <w:spacing w:after="0" w:line="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majority of our accounts receivable are derived from sales to large multinational semiconductor manufacturers throughout the world, are recorded at their invoiced amount, and do not bear interest.</w:t>
      </w:r>
    </w:p>
    <w:p>
      <w:pPr>
        <w:spacing w:after="0" w:line="3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order to monitor potential credit losses, we perform ongoing credit evaluations of our customers' financial condition. An allowance for credit losses is maintained based upon our assessment of the expected collectability of all accounts receivable. The allowance for credit losses is reviewed and assessed for adequacy on a quarterly basis. We take into consideration (1) any circumstances of which we are aware of a customer's inability to meet its financial obligations and (2) our judgments as to prevailing economic conditions in the industry and their impact on our customers. If circumstances change, and the financial condition of our customers is adversely affected and they are unable to meet their financial obligations, we may need to take additional allowances, which would result in an increase in our operating expense.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20"/>
                <w:szCs w:val="20"/>
                <w:color w:val="auto"/>
              </w:rPr>
            </w:pPr>
            <w:r>
              <w:rPr>
                <w:rFonts w:ascii="Times New Roman" w:cs="Times New Roman" w:eastAsia="Times New Roman" w:hAnsi="Times New Roman"/>
                <w:sz w:val="14"/>
                <w:szCs w:val="14"/>
                <w:color w:val="auto"/>
              </w:rPr>
              <w:t>Activity related to our allowance for credit losses was as follows (in thousands):</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2"/>
        </w:trPr>
        <w:tc>
          <w:tcPr>
            <w:tcW w:w="6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71"/>
        </w:trPr>
        <w:tc>
          <w:tcPr>
            <w:tcW w:w="6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4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4"/>
                <w:szCs w:val="14"/>
                <w:color w:val="auto"/>
              </w:rPr>
            </w:pPr>
          </w:p>
        </w:tc>
        <w:tc>
          <w:tcPr>
            <w:tcW w:w="1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25, 2021</w:t>
            </w:r>
          </w:p>
        </w:tc>
      </w:tr>
      <w:tr>
        <w:trPr>
          <w:trHeight w:val="171"/>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195</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248</w:t>
            </w:r>
          </w:p>
        </w:tc>
      </w:tr>
      <w:tr>
        <w:trPr>
          <w:trHeight w:val="18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Charges (reversals) to costs and expenses</w:t>
            </w: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w w:val="94"/>
              </w:rPr>
              <w:t>(27)</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(53)</w:t>
            </w: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168</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195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state our inventories at the lower of cost (principally standard cost which approximates actual cost on a first in, first out basis) or net realizable value. We regularly assess the value of our inventory and will periodically write down its value for</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estimated excess inventory and product obsolescence based upon an analysis of existing inventory quantities compared to estimated future consumption. Future consumption is estimated based upon assumptions about how past consumption, recent purchases, backlog and other factors may indicate future consumption. On a quarterly basis, we review existing inventory quantities in comparison to our past consumption, recent purchases, backlog and other factors to determine what inventory quantities, if any, may not be sellable. Based on this analysis, we record an adjustment to the cost basis of inventory when evidence exists that the net realizable value of inventory is lower than its cost, which occurs when we have excess and/or obsolete inventory. Once the value is adjusted, the original cost of our inventory, less the related inventory write-down, represents the new cost basis. Reversal of these write downs is recognized only when the related inventory has been scrapped or sold. Shipping and handling costs are classified as a component of Cost of revenues in the Consolidated Statements of Income.</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design, manufacture and sell a custom product into a market that has been subject to cyclicality and significant demand fluctuations. Many of our products are complex, custom to a specific chip design and have to be delivered on short lead-times. Probe cards are manufactured in low volumes, but, for certain materials, the purchases are often subject to minimum order quantities in excess of the actual underlying probe card demand. It is not uncommon for us to acquire production materials and commence production activities based on estimated production yields and forecasted demand prior to, or in excess of, actual demand for our probe cards. These factors result in normal recurring inventory valuation charges to Cost of revenues.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Inventory write downs totaled $15.0 million, $24.6 million and $15.5 million for fiscal 2023, 2022 and 2021,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Restricted cash is comprised primarily of funds held by our foreign subsidiaries for employee obligations, office leases, environmental remediation, and temporary customs import permits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Plant, and Equipment</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Property, plant and equipment is stated at cost less accumulated depreciation and amortization. Depreciation is recorded on a straight-line method. Machinery and equipment, computer equipment and software, and furniture and fixtures are depreciated over 3 to 5 years. Leasehold improvements are amortized over 7 years. Building and building improvements are depreciated over 30 years. Construction-in-progress assets are not depreciated until the assets are placed in service. Upon sale or retirement of assets, the cost and related accumulated depreciation or amortization are removed from the Consolidated Balance Sheets and the resulting gain or loss, if any, is reflected in Operating income in our Consolidated Statements of Income.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Company determines if an arrangement is a lease at its inception. Right-of-use (“ROU”) assets and liabilities are recognized at the lease commencement date based on the present value of lease payments over the lease term. We use our estimated incremental borrowing rate in determining the present value of lease payments considering the term of the lease, which is derived from information available at the lease commencement date. The lease term includes renewal options when it is reasonably certain that the option will be exercised and excludes termination options. To the extent that the Company’s agreements have variable lease payments, the Company includes variable lease payments that depend on an index or a rate and excludes those that depend on facts or circumstances occurring after the commencement date, other than the passage of time.</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Lease expense for these leases is recognized on a straight-line basis over the lease term. We have elected not to recognize ROU assets and lease liabilities that arise from short-term leases for any class of underlying asset. Operating leases are included in Operating lease, right-of-use-assets, Operating lease liabilities, and Long-term operating lease liabilities in our Consolidated Balance Sheets.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Goodwill represents the excess of the purchase price over the fair value of identifiable assets acquired and liabilities assumed. Goodwill is not amortized, rather assessed, at least annually, for impairment at a reporting unit level. Impairment of goodwill exists when the carrying amount of a reporting unit exceeds its fair value. A goodwill impairment loss is recognized for the amount that the carrying amount of the reporting unit, including goodwill, exceeds its fair value, limited to the total amount of goodwill allocated to that reporting unit. If the fair value of a reporting unit exceeds the carrying amount, goodwill of the reporting unit is not considered impaired.</w:t>
      </w:r>
    </w:p>
    <w:p>
      <w:pPr>
        <w:spacing w:after="0" w:line="1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evaluate impairment by first assessing qualitative factors to determine whether it is necessary to perform a quantitative impairment test. If we determine, as a result of the qualitative assessment, that it is more likely than not that the fair value of a reporting unit is less than its carrying amount, then the quantitative impairment test is required. Otherwise, no further testing is required.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perform our annual goodwill impairment test in the fourth quarter of each year by assessing qualitative factors, including, but not limited to, an assessment of our market capitalization, which was significantly higher than our book value. Based on these tests, we determined that the quantitative impairment test was not required and no impairment charges were recorded in fiscal 2023, 2022 or 2021.</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evaluation of goodwill for impairment requires the exercise of judgment. In the event of future changes in business conditions, we will be required to reassess and update our forecasts and estimates used in future impairment analysis. If the results of these analysis are lower than current estimates, a material impairment charge may result at that time.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11, </w:t>
      </w:r>
      <w:r>
        <w:rPr>
          <w:rFonts w:ascii="Times New Roman" w:cs="Times New Roman" w:eastAsia="Times New Roman" w:hAnsi="Times New Roman"/>
          <w:sz w:val="14"/>
          <w:szCs w:val="14"/>
          <w:i w:val="1"/>
          <w:iCs w:val="1"/>
          <w:color w:val="auto"/>
        </w:rPr>
        <w:t>Goodwill and Intangible Assets</w:t>
      </w:r>
      <w:r>
        <w:rPr>
          <w:rFonts w:ascii="Times New Roman" w:cs="Times New Roman" w:eastAsia="Times New Roman" w:hAnsi="Times New Roman"/>
          <w:sz w:val="14"/>
          <w:szCs w:val="14"/>
          <w:color w:val="auto"/>
        </w:rPr>
        <w:t>, for additional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Intangible assets consist of acquisition related intangible assets and intellectual property. The intangible assets are being amortized over periods of 1 to 10 years, which reflect the pattern in which economic benefits of the assets are expected to be realized. We perform a review of intangible assets when facts and circumstances indicate that the useful life is shorter than originally estimated or that the carrying amount of assets may not be recoverable. Such facts and circumstances include significant adverse changes in the business climate or legal factors; current period cash flow or operating losses combined with a history of losses or a forecast of continuing losses associated with the use of the intangible assets; and current expectation that the intangible assets will more likely than not be sold or disposed of before the end of their estimated useful lives. We assess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 over the fair value of those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11, </w:t>
      </w:r>
      <w:r>
        <w:rPr>
          <w:rFonts w:ascii="Times New Roman" w:cs="Times New Roman" w:eastAsia="Times New Roman" w:hAnsi="Times New Roman"/>
          <w:sz w:val="14"/>
          <w:szCs w:val="14"/>
          <w:i w:val="1"/>
          <w:iCs w:val="1"/>
          <w:color w:val="auto"/>
        </w:rPr>
        <w:t>Goodwill and Intangible Assets</w:t>
      </w:r>
      <w:r>
        <w:rPr>
          <w:rFonts w:ascii="Times New Roman" w:cs="Times New Roman" w:eastAsia="Times New Roman" w:hAnsi="Times New Roman"/>
          <w:sz w:val="14"/>
          <w:szCs w:val="14"/>
          <w:color w:val="auto"/>
        </w:rPr>
        <w:t>, for additional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test long-lived assets or asset groups, such as property, plant and equipment and intangible assets, for recoverability when events or changes in circumstances indicate that their carrying amounts may not be recoverable. Circumstances which could trigger a review include, but are not limited to: significant decreases in the market price of the asset; significant adverse changes in the business climate or legal factors; accumulation of costs significantly in excess of the amount originally expected for the acquisition or construction of the asset; current period cash flow or operating losses combined with a history of losses or a forecast of continuing losses associated with the use of the asset; and current expectation that the asset will more likely than not be sold or disposed of before the end of its estimated useful life.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Recoverability is assessed based on the carrying amounts of the asset or asset group and the sum of the undiscounted cash flows expected to result from the use and the eventual disposal of the asset.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impairment loss is recognized when the carrying amount is not recoverable and exceeds fair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 and Other Risks and Uncertainties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Financial instruments that potentially subject us to concentrations of credit risk consist primarily of cash equivalents, marketable securities and accounts receivable. Our cash equivalents and marketable securities are held in safekeeping by large, credit-worthy financial institutions. We invest our excess cash primarily in U.S. banks, government and agency bonds, money market funds and corporate obligations. We have established guidelines relative to credit ratings, diversification and maturities that seek to maintain safety and liquidity. Deposits in these banks may exceed the amounts of insurance provided on such deposits. To date, we have not experienced any losses on our deposits of cash and cash equivalents. We market and sell our products to a relatively narrow base of customers and generally do not require collateral.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customers represented 10% or more of our revenues: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6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Fiscal Year Ended</w:t>
            </w:r>
          </w:p>
        </w:tc>
        <w:tc>
          <w:tcPr>
            <w:tcW w:w="1400" w:type="dxa"/>
            <w:vAlign w:val="bottom"/>
            <w:tcBorders>
              <w:bottom w:val="single" w:sz="8" w:color="auto"/>
            </w:tcBorders>
          </w:tcPr>
          <w:p>
            <w:pPr>
              <w:spacing w:after="0"/>
              <w:rPr>
                <w:sz w:val="14"/>
                <w:szCs w:val="14"/>
                <w:color w:val="auto"/>
              </w:rPr>
            </w:pPr>
          </w:p>
        </w:tc>
      </w:tr>
      <w:tr>
        <w:trPr>
          <w:trHeight w:val="161"/>
        </w:trPr>
        <w:tc>
          <w:tcPr>
            <w:tcW w:w="686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December 25, 2021</w:t>
            </w:r>
          </w:p>
        </w:tc>
      </w:tr>
      <w:tr>
        <w:trPr>
          <w:trHeight w:val="172"/>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Intel Corporation</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17.1 %</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20.4 %</w:t>
            </w:r>
          </w:p>
        </w:tc>
      </w:tr>
      <w:tr>
        <w:trPr>
          <w:trHeight w:val="184"/>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Samsung Electronics Co., LTD.</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r>
    </w:tbl>
    <w:p>
      <w:pPr>
        <w:spacing w:after="0" w:line="53" w:lineRule="exact"/>
        <w:rPr>
          <w:sz w:val="20"/>
          <w:szCs w:val="20"/>
          <w:color w:val="auto"/>
        </w:rPr>
      </w:pPr>
    </w:p>
    <w:p>
      <w:pPr>
        <w:ind w:left="80" w:hanging="75"/>
        <w:spacing w:after="0"/>
        <w:tabs>
          <w:tab w:leader="none" w:pos="80" w:val="left"/>
        </w:tabs>
        <w:numPr>
          <w:ilvl w:val="0"/>
          <w:numId w:val="23"/>
        </w:numPr>
        <w:rPr>
          <w:rFonts w:ascii="Times New Roman" w:cs="Times New Roman" w:eastAsia="Times New Roman" w:hAnsi="Times New Roman"/>
          <w:sz w:val="11"/>
          <w:szCs w:val="11"/>
          <w:b w:val="1"/>
          <w:bCs w:val="1"/>
          <w:i w:val="1"/>
          <w:iCs w:val="1"/>
          <w:color w:val="auto"/>
        </w:rPr>
      </w:pPr>
      <w:r>
        <w:rPr>
          <w:rFonts w:ascii="Times New Roman" w:cs="Times New Roman" w:eastAsia="Times New Roman" w:hAnsi="Times New Roman"/>
          <w:sz w:val="11"/>
          <w:szCs w:val="11"/>
          <w:color w:val="auto"/>
        </w:rPr>
        <w:t>Less than 10% of revenues.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30, 2023, two customers accounted for 17.8% and 11.0% of gross accounts receivable. At December 31, 2022, one customer accounted for 13.8% of gross accounts receivable. No other customers accounted for 10% or more of gross accounts receivable for these fiscal period ends.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exposed to non-performance risk by counterparties on our derivative instruments used in hedging activities. We seek to minimize risk by diversifying our hedging program across multiple financial institutions. These counterparties are large international financial institutions, and, to date, no such counterparty has failed to meet its financial obligations to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Assistance</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January 2023, we received $18.0 million in cash from a California Competes Grant (the “Grant”) awarded from the California Governor’s Office of Business and Economic Development. The Grant requires us to create and maintain full-time jobs and make significant infrastructure investments within California over a 5-year term. If we do not meet the requirements of the Grant, we will be required to repay all or a portion of the Grant.</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Grant is included in our Consolidated Balance Sheets within Deferred grant and we will recognize the Grant over time when earned as an offset to Cost of revenues and Operating expenses within our Consolidated Statements of Income. We have presented the proceeds from the Grant as cash provided by operating activities within our Consolidated Statements of Cash Flows as the Grant is to offset operations. No amounts were recognized as an offset to expenses in fiscal 2023 and the full grant remains deferred.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Revenue is recognized upon transferring control of products and services, and the amounts recognized reflect the consideration we expect to be entitled to receive in exchange for these products and services. Revenue is recognized net of any taxes collected from customers, which are subsequently remitted to governmental authorities. An arrangement may include some or all of the following products and services: probe cards, systems, accessories, engineering services, installation services, service contracts and extended warranty contracts. We sell our products and services direct to customers and to partners in two distribution channels: global direct sales force and through a combination of manufacturers’ representatives and distributors.</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performance obligation is a promise in a contract to transfer a distinct good or service to the customer. In contracts with multiple performance obligations, we identify each performance obligation and evaluate whether the performance obligation is distinct within the context of the contract at contract inception. Performance obligations that are not distinct at contract inception are combined and accounted for as one unit of account. Generally, the performance obligations in a contract are considered distinct within the context of the contract and are accounted for as separate units of account.</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products may be customized to our customers’ specifications; however, control of our product is typically transferred to the customer at the point in time the product is either shipped or delivered, depending on the terms of the arrangement, as the criteria for over time recognition is not met. In limited circumstances, substantive acceptance by the customer exists which results in the deferral of revenue until acceptance is formally received from the customer. Judgment may be required in determining if the acceptance clause is substantive. In certain instances control of products is transferred to the customer over time based on performance and in those instances we utilize an appropriate input or output measure to determine to what extent control has transferred to the customer. Judgment may be required in determining an appropriate measure of performance.</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Installation services are routinely provided to customers purchasing our systems. Installation services are a distinct performance obligation apart from the systems and are recognized in the period they are performed. Service contracts, which include repair and maintenance service contracts, and extended warranty contracts are also distinct performance obligations and are recognized over the contractual service period, which ranges from one to three years. For these service contracts recognized over time, we use the input measure of days elapsed to measure progress.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contract’s transaction price is allocated to each distinct performance obligation and recognized as revenue when, or as, the performance obligation is satisfied. In determining the transaction price, we evaluate whether the price is subject to refund or adjustment to determine the net consideration to which we expect to be entitled. We generally do not grant return privileges, except for defective products during the warranty period. Sales incentives and other programs that we may make available to our customers are considered to be a form of variable consideration, which is estimated in determining the contract’s transaction price to be allocated to the performance obligations.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contracts with multiple performance obligations, we allocate the contract’s transaction price to each performance obligation based on its relative stand-alone selling price. The stand-alone selling prices are determined based on observable prices, which</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are the prices at which we separately sell these products. For items which do not have observable prices, we use our best estimate of the stand-alone selling prices.</w:t>
      </w:r>
    </w:p>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Transaction price allocated to the remaining performance obligations: </w:t>
      </w:r>
      <w:r>
        <w:rPr>
          <w:rFonts w:ascii="Times New Roman" w:cs="Times New Roman" w:eastAsia="Times New Roman" w:hAnsi="Times New Roman"/>
          <w:sz w:val="14"/>
          <w:szCs w:val="14"/>
          <w:color w:val="auto"/>
        </w:rPr>
        <w:t>On December 30, 2023, we had $12.4 million of remaining performance obligations, which were comprised of deferred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service contracts, extended warranty contracts, and contracts with over time revenue recognition that are not yet delivered. We expect to recognize approximately 86.7% of our remaining performance obligations as revenue in fiscal 2024, approximately 9.1% in fiscal 2025, and approximately 4.2% in fiscal 2026 and thereafter. The foregoing excludes the value of remaining performance obligations that have original durations of one year or less, and also excludes information about variable consideration allocated entirely to a wholly unsatisfied performance obligation.</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Contract balances: </w:t>
      </w:r>
      <w:r>
        <w:rPr>
          <w:rFonts w:ascii="Times New Roman" w:cs="Times New Roman" w:eastAsia="Times New Roman" w:hAnsi="Times New Roman"/>
          <w:sz w:val="14"/>
          <w:szCs w:val="14"/>
          <w:color w:val="auto"/>
        </w:rPr>
        <w:t>The timing of revenue recognition may differ from the timing of invoicing to customers. Accounts receivable is recorded at the invoiced amount, net of an allowance for credit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losses. A receivable is recognized in the period we deliver goods or provide services or when our right to consideration is unconditional. A contract asset is recorded when we have performed under the contract but our right to consideration is conditional on something other than the passage of time. Contract assets as of December 30, 2023 and December 31, 2022 were $3.8 million and $1.9 million, respectively, and are reported on the Consolidated Balance Sheets as a component of Prepaid expenses and other current assets.</w:t>
      </w:r>
    </w:p>
    <w:p>
      <w:pPr>
        <w:spacing w:after="0" w:line="1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Contract liabilities include payments received and payments due in advance of performance under a contract and are satisfied as the associated revenue is recognized. Contract liabilities are reported on the Consolidated Balance Sheets on a contract-by-contract basis at the end of each reporting period as a component of Deferred revenue and Other liabilities. Contract liabilities totaled $18.0 million and $30.9 million at December 30, 2023 and December 31, 2022, respectively. During fiscal 2023, we recognized $27.5 million of revenue that was included in contract liabilities as of December 31, 2022.</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Costs to obtain a contract: </w:t>
      </w:r>
      <w:r>
        <w:rPr>
          <w:rFonts w:ascii="Times New Roman" w:cs="Times New Roman" w:eastAsia="Times New Roman" w:hAnsi="Times New Roman"/>
          <w:sz w:val="14"/>
          <w:szCs w:val="14"/>
          <w:color w:val="auto"/>
        </w:rPr>
        <w:t>We generally expense sales commissions when incurred as a component of Selling, general and administrative expense as the amortization period is typically less than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one year.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Revenue by Category: </w:t>
      </w:r>
      <w:r>
        <w:rPr>
          <w:rFonts w:ascii="Times New Roman" w:cs="Times New Roman" w:eastAsia="Times New Roman" w:hAnsi="Times New Roman"/>
          <w:sz w:val="14"/>
          <w:szCs w:val="14"/>
          <w:color w:val="auto"/>
        </w:rPr>
        <w:t>Refer to Note 17,</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Segments and Geographic Information</w:t>
      </w:r>
      <w:r>
        <w:rPr>
          <w:rFonts w:ascii="Times New Roman" w:cs="Times New Roman" w:eastAsia="Times New Roman" w:hAnsi="Times New Roman"/>
          <w:sz w:val="14"/>
          <w:szCs w:val="14"/>
          <w:color w:val="auto"/>
        </w:rPr>
        <w:t>, for further details.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Warranty Obligations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offer warranties on certain products and record a liability for the estimated future costs associated with warranty claims at the time revenue is recognized. The warranty liability is based upon historical experience and our estimate of the level of future costs. While we engage in product quality programs and processes, our warranty obligation is affected by product failure rates, material usage and service delivery costs incurred in correcting a product failure. We continuously monitor product returns for warranty and maintain a reserve for the related expenses based upon our historical experience and any specifically identified field failures. As we sell new products to our customers, we must exercise considerable judgment in estimating the expected failure rates. This estimating process is based on historical experience of similar products, as well as various other assumptions that we believe to be reasonable under the circumstances.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provide for the estimated cost of product warranties at the time revenue is recognized. Warranty costs are reflected in the Consolidated Statement of Income as a Cost of 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changes in our warranty liability is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Fiscal Year Ended</w:t>
            </w: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1"/>
        </w:trPr>
        <w:tc>
          <w:tcPr>
            <w:tcW w:w="7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80" w:type="dxa"/>
            <w:vAlign w:val="bottom"/>
          </w:tcPr>
          <w:p>
            <w:pPr>
              <w:spacing w:after="0"/>
              <w:rPr>
                <w:sz w:val="14"/>
                <w:szCs w:val="14"/>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w w:val="98"/>
              </w:rPr>
              <w:t>December 25, 2021</w:t>
            </w:r>
          </w:p>
        </w:tc>
      </w:tr>
      <w:tr>
        <w:trPr>
          <w:trHeight w:val="172"/>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w:t>
            </w:r>
          </w:p>
        </w:tc>
      </w:tr>
      <w:tr>
        <w:trPr>
          <w:trHeight w:val="180"/>
        </w:trPr>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Accruals</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5,759</w:t>
            </w:r>
          </w:p>
        </w:tc>
      </w:tr>
      <w:tr>
        <w:trPr>
          <w:trHeight w:val="180"/>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Settlements</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(6,872)</w:t>
            </w:r>
          </w:p>
        </w:tc>
      </w:tr>
      <w:tr>
        <w:trPr>
          <w:trHeight w:val="180"/>
        </w:trPr>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Reduction - FRT divestiture</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year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Research and development expenses include expenses related to product development, engineering and material costs. All research and development costs are expensed as incurred.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utilize the asset and liability method of accounting for income taxes, under which deferred taxes are determined based on the temporary differences between the financial statement and tax basis of assets and liabilities using tax rates expected to be in effect during the years in which the basis differences reverse and for operating losses and tax credit carryforwards. We estimate our provision for income taxes and amounts ultimately payable or recoverable in numerous tax jurisdictions around the world. Estimates involve interpretations of regulations and are inherently complex. Resolution of income tax treatments in individual jurisdictions may not be known for many years after completion of any fiscal year. We are required to evaluate the realizability of our deferred tax assets on an ongoing basis to determine whether there is a need for a valuation allowance with respect to such deferred tax assets. A valuation allowance is recorded when it is more likely than not that some or all of the deferred tax assets will not be realized. In evaluating the ability to recover deferred tax assets, we consider all available positive and negative evidence giving greater weight to our recent cumulative income, our historical ability to utilize net operating losses in recent years, and our forecast of future taxable income, including the reversal of temporary differences and the implementation of feasible and prudent tax planning strategies.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recognize and measure uncertain tax positions taken or expected to be taken in a tax return if it is more likely than not that the tax position will be sustained on examination by the taxing authorities, based on the technical merits of the position. The tax benefits recognized are then measured based on the largest benefit that has a greater than 50 percent likelihood of being realized upon ultimate settlement. We report a liability for unrecognized tax benefits resulting from uncertain tax positions taken or expected to be taken in a tax return.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reserve provisions and changes to reserves, as well as the related net interest. We recognize interest and penalties related to unrecognized tax benefits within the income tax provision. Accrued interest and penalties are included within the related tax liability in the Consolidated Balance Sheets.</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file annual income tax returns in multiple taxing jurisdictions around the world. A number of years may elapse before an uncertain tax position is audited and finally resolved. While it is often difficult to predict the final outcome or the timing of resolution of any particular uncertain tax position, we believe that our related liability reflects the most likely outcome. We adjust the liability, as well as the related interest, in light of changing facts and circumstances. Settlement of any particular position could require the use of cash.</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recognize compensation expense for all stock-based awards based on the grant-date estimated fair values. The value of the portion of the award that is ultimately expected to vest is recognized as expense ratably over the requisite service periods in our Consolidated Statements of Income. The fair value of restricted stock units (“RSUs”) is measured based on the closing market price of our common stock on the date of grant. The fair value of Performance RSUs (“PRSU”) is based on certain market performance criteria and is measured using a Monte Carlo simulation pricing model.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13, </w:t>
      </w:r>
      <w:r>
        <w:rPr>
          <w:rFonts w:ascii="Times New Roman" w:cs="Times New Roman" w:eastAsia="Times New Roman" w:hAnsi="Times New Roman"/>
          <w:sz w:val="14"/>
          <w:szCs w:val="14"/>
          <w:i w:val="1"/>
          <w:iCs w:val="1"/>
          <w:color w:val="auto"/>
        </w:rPr>
        <w:t>Stockholders' Equity</w:t>
      </w:r>
      <w:r>
        <w:rPr>
          <w:rFonts w:ascii="Times New Roman" w:cs="Times New Roman" w:eastAsia="Times New Roman" w:hAnsi="Times New Roman"/>
          <w:sz w:val="14"/>
          <w:szCs w:val="14"/>
          <w:color w:val="auto"/>
        </w:rPr>
        <w:t xml:space="preserve">, and Note 14,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for additional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 Per Share</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Basic net income per share is computed by dividing net income by the weighted-average number of common shares outstanding for the period. Diluted net income per share is computed giving effect to all potentially dilutive common stock and common stock equivalents, including stock options, RSUs and common stock subject to repurchase.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reconciles the shares used in calculating basic net income per share and diluted net income per share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Fiscal Year Ended</w:t>
            </w:r>
          </w:p>
        </w:tc>
        <w:tc>
          <w:tcPr>
            <w:tcW w:w="13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rPr>
              <w:t>December 25, 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used in computing basic net income per share</w:t>
            </w:r>
          </w:p>
        </w:tc>
        <w:tc>
          <w:tcPr>
            <w:tcW w:w="196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77,370</w:t>
            </w: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77,578</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potentially dilutive securities</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used in computing basic and diluted net income per share</w:t>
            </w:r>
          </w:p>
        </w:tc>
        <w:tc>
          <w:tcPr>
            <w:tcW w:w="196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78,159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ind w:right="1309"/>
              <w:spacing w:after="0"/>
              <w:rPr>
                <w:sz w:val="20"/>
                <w:szCs w:val="20"/>
                <w:color w:val="auto"/>
              </w:rPr>
            </w:pPr>
            <w:r>
              <w:rPr>
                <w:rFonts w:ascii="Times New Roman" w:cs="Times New Roman" w:eastAsia="Times New Roman" w:hAnsi="Times New Roman"/>
                <w:sz w:val="14"/>
                <w:szCs w:val="14"/>
                <w:color w:val="auto"/>
              </w:rPr>
              <w:t>61</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51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14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loss</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Accumulated other comprehensive loss (“AOCL”) includes the following items, the impact of which has been excluded from earnings and reflected as components of stockholders' equity as shown below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c>
          <w:tcPr>
            <w:tcW w:w="160" w:type="dxa"/>
            <w:vAlign w:val="bottom"/>
          </w:tcPr>
          <w:p>
            <w:pPr>
              <w:spacing w:after="0"/>
              <w:rPr>
                <w:sz w:val="14"/>
                <w:szCs w:val="14"/>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0" w:type="dxa"/>
            <w:vAlign w:val="bottom"/>
          </w:tcPr>
          <w:p>
            <w:pPr>
              <w:spacing w:after="0"/>
              <w:rPr>
                <w:sz w:val="1"/>
                <w:szCs w:val="1"/>
                <w:color w:val="auto"/>
              </w:rPr>
            </w:pPr>
          </w:p>
        </w:tc>
      </w:tr>
      <w:tr>
        <w:trPr>
          <w:trHeight w:val="17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losses on available-for-sale marketable securities and other investments</w:t>
            </w:r>
          </w:p>
        </w:tc>
        <w:tc>
          <w:tcPr>
            <w:tcW w:w="2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(2,749)</w:t>
            </w:r>
          </w:p>
        </w:tc>
        <w:tc>
          <w:tcPr>
            <w:tcW w:w="0" w:type="dxa"/>
            <w:vAlign w:val="bottom"/>
          </w:tcPr>
          <w:p>
            <w:pPr>
              <w:spacing w:after="0"/>
              <w:rPr>
                <w:sz w:val="1"/>
                <w:szCs w:val="1"/>
                <w:color w:val="auto"/>
              </w:rPr>
            </w:pP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Translation adjustments</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(5,675)</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gains on derivative instruments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0" w:type="dxa"/>
            <w:vAlign w:val="bottom"/>
          </w:tcPr>
          <w:p>
            <w:pPr>
              <w:spacing w:after="0"/>
              <w:rPr>
                <w:sz w:val="1"/>
                <w:szCs w:val="1"/>
                <w:color w:val="auto"/>
              </w:rPr>
            </w:pPr>
          </w:p>
        </w:tc>
      </w:tr>
      <w:tr>
        <w:trPr>
          <w:trHeight w:val="17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(5,578)</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3—Balance Sheet Components</w:t>
            </w: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Marketable securities consisted of the following (in thousands):</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2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Gross Unrealized Gains</w:t>
            </w:r>
          </w:p>
        </w:tc>
        <w:tc>
          <w:tcPr>
            <w:tcW w:w="80" w:type="dxa"/>
            <w:vAlign w:val="bottom"/>
          </w:tcPr>
          <w:p>
            <w:pPr>
              <w:spacing w:after="0"/>
              <w:rPr>
                <w:sz w:val="17"/>
                <w:szCs w:val="17"/>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Gross Unrealized Losses</w:t>
            </w:r>
          </w:p>
        </w:tc>
        <w:tc>
          <w:tcPr>
            <w:tcW w:w="160" w:type="dxa"/>
            <w:vAlign w:val="bottom"/>
          </w:tcPr>
          <w:p>
            <w:pPr>
              <w:spacing w:after="0"/>
              <w:rPr>
                <w:sz w:val="17"/>
                <w:szCs w:val="17"/>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71"/>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treasuries</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45,837</w:t>
            </w:r>
          </w:p>
        </w:tc>
        <w:tc>
          <w:tcPr>
            <w:tcW w:w="0" w:type="dxa"/>
            <w:vAlign w:val="bottom"/>
          </w:tcPr>
          <w:p>
            <w:pPr>
              <w:spacing w:after="0"/>
              <w:rPr>
                <w:sz w:val="1"/>
                <w:szCs w:val="1"/>
                <w:color w:val="auto"/>
              </w:rPr>
            </w:pP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13,317</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81,350</w:t>
            </w:r>
          </w:p>
        </w:tc>
        <w:tc>
          <w:tcPr>
            <w:tcW w:w="0" w:type="dxa"/>
            <w:vAlign w:val="bottom"/>
          </w:tcPr>
          <w:p>
            <w:pPr>
              <w:spacing w:after="0"/>
              <w:rPr>
                <w:sz w:val="1"/>
                <w:szCs w:val="1"/>
                <w:color w:val="auto"/>
              </w:rPr>
            </w:pPr>
          </w:p>
        </w:tc>
      </w:tr>
      <w:tr>
        <w:trPr>
          <w:trHeight w:val="18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U.S. agency securities</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10,086</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10,003</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150,789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150,507</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8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20" w:type="dxa"/>
            <w:vAlign w:val="bottom"/>
          </w:tcPr>
          <w:p>
            <w:pPr>
              <w:spacing w:after="0"/>
              <w:rPr>
                <w:sz w:val="19"/>
                <w:szCs w:val="19"/>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Gross Unrealized Gains</w:t>
            </w:r>
          </w:p>
        </w:tc>
        <w:tc>
          <w:tcPr>
            <w:tcW w:w="80" w:type="dxa"/>
            <w:vAlign w:val="bottom"/>
          </w:tcPr>
          <w:p>
            <w:pPr>
              <w:spacing w:after="0"/>
              <w:rPr>
                <w:sz w:val="19"/>
                <w:szCs w:val="19"/>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Gross Unrealized Losses</w:t>
            </w:r>
          </w:p>
        </w:tc>
        <w:tc>
          <w:tcPr>
            <w:tcW w:w="16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71"/>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treasuries</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25,019</w:t>
            </w:r>
          </w:p>
        </w:tc>
        <w:tc>
          <w:tcPr>
            <w:tcW w:w="0" w:type="dxa"/>
            <w:vAlign w:val="bottom"/>
          </w:tcPr>
          <w:p>
            <w:pPr>
              <w:spacing w:after="0"/>
              <w:rPr>
                <w:sz w:val="1"/>
                <w:szCs w:val="1"/>
                <w:color w:val="auto"/>
              </w:rPr>
            </w:pP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24,840</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67,396</w:t>
            </w:r>
          </w:p>
        </w:tc>
        <w:tc>
          <w:tcPr>
            <w:tcW w:w="0" w:type="dxa"/>
            <w:vAlign w:val="bottom"/>
          </w:tcPr>
          <w:p>
            <w:pPr>
              <w:spacing w:after="0"/>
              <w:rPr>
                <w:sz w:val="1"/>
                <w:szCs w:val="1"/>
                <w:color w:val="auto"/>
              </w:rPr>
            </w:pPr>
          </w:p>
        </w:tc>
      </w:tr>
      <w:tr>
        <w:trPr>
          <w:trHeight w:val="18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agency securities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11,045</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131,251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129,006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typically invest in highly-rated securities with low probabilities of default. Our investment policy requires investments to be rated single A or better, limits the types of acceptable investments, concentration as to security holder and duration of the investment. The gross unrealized gains and losses in fiscal 2023 and 2022 were caused primarily by changes in interest rates.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longer the duration of marketable securities, the more susceptible they are to changes in market interest rates and bond yields. As yields increase, those securities with a lower yield-at-cost show a mark-to-market unrealized loss. We anticipate recovering the full cost of the securities either as market conditions improve or as the securities mature. Accordingly, we believe that the unrealized losses are not as a result of a credit loss.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contractual maturities of marketable securities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60" w:type="dxa"/>
            <w:vAlign w:val="bottom"/>
            <w:tcBorders>
              <w:bottom w:val="single" w:sz="8" w:color="auto"/>
            </w:tcBorders>
          </w:tcPr>
          <w:p>
            <w:pPr>
              <w:spacing w:after="0"/>
              <w:rPr>
                <w:sz w:val="14"/>
                <w:szCs w:val="14"/>
                <w:color w:val="auto"/>
              </w:rPr>
            </w:pPr>
          </w:p>
        </w:tc>
      </w:tr>
      <w:tr>
        <w:trPr>
          <w:trHeight w:val="161"/>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480" w:type="dxa"/>
            <w:vAlign w:val="bottom"/>
          </w:tcPr>
          <w:p>
            <w:pPr>
              <w:spacing w:after="0"/>
              <w:rPr>
                <w:sz w:val="14"/>
                <w:szCs w:val="14"/>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460" w:type="dxa"/>
            <w:vAlign w:val="bottom"/>
          </w:tcPr>
          <w:p>
            <w:pPr>
              <w:spacing w:after="0"/>
              <w:rPr>
                <w:sz w:val="14"/>
                <w:szCs w:val="14"/>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w w:val="93"/>
              </w:rPr>
              <w:t>Fair Value</w:t>
            </w:r>
          </w:p>
        </w:tc>
      </w:tr>
      <w:tr>
        <w:trPr>
          <w:trHeight w:val="172"/>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in one year or less</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94,772</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94,370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77,663</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76,902</w:t>
            </w:r>
          </w:p>
        </w:tc>
      </w:tr>
      <w:tr>
        <w:trPr>
          <w:trHeight w:val="18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Due after one year to five years</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56,017</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56,137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53,588</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52,104</w:t>
            </w:r>
          </w:p>
        </w:tc>
      </w:tr>
      <w:tr>
        <w:trPr>
          <w:trHeight w:val="196"/>
        </w:trPr>
        <w:tc>
          <w:tcPr>
            <w:tcW w:w="48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150,789</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150,507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131,251</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129,006</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also Note 10, </w:t>
      </w:r>
      <w:r>
        <w:rPr>
          <w:rFonts w:ascii="Times New Roman" w:cs="Times New Roman" w:eastAsia="Times New Roman" w:hAnsi="Times New Roman"/>
          <w:sz w:val="14"/>
          <w:szCs w:val="14"/>
          <w:i w:val="1"/>
          <w:iCs w:val="1"/>
          <w:color w:val="auto"/>
        </w:rPr>
        <w:t>Fair Value</w:t>
      </w:r>
      <w:r>
        <w:rPr>
          <w:rFonts w:ascii="Times New Roman" w:cs="Times New Roman" w:eastAsia="Times New Roman" w:hAnsi="Times New Roman"/>
          <w:sz w:val="14"/>
          <w:szCs w:val="14"/>
          <w:color w:val="auto"/>
        </w:rPr>
        <w:t>.</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Inventories, net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Inventories consisted of the following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1620" w:type="dxa"/>
            <w:vAlign w:val="bottom"/>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0" w:type="dxa"/>
            <w:vAlign w:val="bottom"/>
          </w:tcPr>
          <w:p>
            <w:pPr>
              <w:spacing w:after="0"/>
              <w:rPr>
                <w:sz w:val="1"/>
                <w:szCs w:val="1"/>
                <w:color w:val="auto"/>
              </w:rPr>
            </w:pPr>
          </w:p>
        </w:tc>
      </w:tr>
      <w:tr>
        <w:trPr>
          <w:trHeight w:val="173"/>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42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50,808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55,726</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Work-in-progress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46,067</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4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21,364</w:t>
            </w:r>
          </w:p>
        </w:tc>
        <w:tc>
          <w:tcPr>
            <w:tcW w:w="0" w:type="dxa"/>
            <w:vAlign w:val="bottom"/>
          </w:tcPr>
          <w:p>
            <w:pPr>
              <w:spacing w:after="0"/>
              <w:rPr>
                <w:sz w:val="1"/>
                <w:szCs w:val="1"/>
                <w:color w:val="auto"/>
              </w:rPr>
            </w:pPr>
          </w:p>
        </w:tc>
      </w:tr>
      <w:tr>
        <w:trPr>
          <w:trHeight w:val="171"/>
        </w:trPr>
        <w:tc>
          <w:tcPr>
            <w:tcW w:w="8140" w:type="dxa"/>
            <w:vAlign w:val="bottom"/>
          </w:tcPr>
          <w:p>
            <w:pPr>
              <w:spacing w:after="0"/>
              <w:rPr>
                <w:sz w:val="14"/>
                <w:szCs w:val="14"/>
                <w:color w:val="auto"/>
              </w:rPr>
            </w:pPr>
          </w:p>
        </w:tc>
        <w:tc>
          <w:tcPr>
            <w:tcW w:w="4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111,685</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123,157</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Plant and Equipment, net</w:t>
            </w: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81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 net consisted of the following (in thousands):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4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0" w:type="dxa"/>
            <w:vAlign w:val="bottom"/>
          </w:tcPr>
          <w:p>
            <w:pPr>
              <w:spacing w:after="0"/>
              <w:rPr>
                <w:sz w:val="1"/>
                <w:szCs w:val="1"/>
                <w:color w:val="auto"/>
              </w:rPr>
            </w:pPr>
          </w:p>
        </w:tc>
      </w:tr>
      <w:tr>
        <w:trPr>
          <w:trHeight w:val="17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17,136</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 and building improvements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46,526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44,932</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276,180</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46,866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45,813</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7,540</w:t>
            </w:r>
          </w:p>
        </w:tc>
        <w:tc>
          <w:tcPr>
            <w:tcW w:w="0" w:type="dxa"/>
            <w:vAlign w:val="bottom"/>
          </w:tcPr>
          <w:p>
            <w:pPr>
              <w:spacing w:after="0"/>
              <w:rPr>
                <w:sz w:val="1"/>
                <w:szCs w:val="1"/>
                <w:color w:val="auto"/>
              </w:rPr>
            </w:pPr>
          </w:p>
        </w:tc>
      </w:tr>
      <w:tr>
        <w:trPr>
          <w:trHeight w:val="18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91,063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86,500</w:t>
            </w:r>
          </w:p>
        </w:tc>
        <w:tc>
          <w:tcPr>
            <w:tcW w:w="0" w:type="dxa"/>
            <w:vAlign w:val="bottom"/>
          </w:tcPr>
          <w:p>
            <w:pPr>
              <w:spacing w:after="0"/>
              <w:rPr>
                <w:sz w:val="1"/>
                <w:szCs w:val="1"/>
                <w:color w:val="auto"/>
              </w:rPr>
            </w:pPr>
          </w:p>
        </w:tc>
      </w:tr>
      <w:tr>
        <w:trPr>
          <w:trHeight w:val="17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495,284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478,101</w:t>
            </w:r>
          </w:p>
        </w:tc>
        <w:tc>
          <w:tcPr>
            <w:tcW w:w="0" w:type="dxa"/>
            <w:vAlign w:val="bottom"/>
          </w:tcPr>
          <w:p>
            <w:pPr>
              <w:spacing w:after="0"/>
              <w:rPr>
                <w:sz w:val="1"/>
                <w:szCs w:val="1"/>
                <w:color w:val="auto"/>
              </w:rPr>
            </w:pPr>
          </w:p>
        </w:tc>
      </w:tr>
      <w:tr>
        <w:trPr>
          <w:trHeight w:val="18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(358,021)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(335,711)</w:t>
            </w:r>
          </w:p>
        </w:tc>
        <w:tc>
          <w:tcPr>
            <w:tcW w:w="0" w:type="dxa"/>
            <w:vAlign w:val="bottom"/>
          </w:tcPr>
          <w:p>
            <w:pPr>
              <w:spacing w:after="0"/>
              <w:rPr>
                <w:sz w:val="1"/>
                <w:szCs w:val="1"/>
                <w:color w:val="auto"/>
              </w:rPr>
            </w:pPr>
          </w:p>
        </w:tc>
      </w:tr>
      <w:tr>
        <w:trPr>
          <w:trHeight w:val="17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137,263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142,390</w:t>
            </w:r>
          </w:p>
        </w:tc>
        <w:tc>
          <w:tcPr>
            <w:tcW w:w="0" w:type="dxa"/>
            <w:vAlign w:val="bottom"/>
          </w:tcPr>
          <w:p>
            <w:pPr>
              <w:spacing w:after="0"/>
              <w:rPr>
                <w:sz w:val="1"/>
                <w:szCs w:val="1"/>
                <w:color w:val="auto"/>
              </w:rPr>
            </w:pPr>
          </w:p>
        </w:tc>
      </w:tr>
      <w:tr>
        <w:trPr>
          <w:trHeight w:val="18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Construction-in-progress</w:t>
            </w: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67,136</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47,458</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204,399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189,848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Liabilities</w:t>
            </w: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1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Accrued liabilities consisted of the following (in thousands):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4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0" w:type="dxa"/>
            <w:vAlign w:val="bottom"/>
          </w:tcPr>
          <w:p>
            <w:pPr>
              <w:spacing w:after="0"/>
              <w:rPr>
                <w:sz w:val="1"/>
                <w:szCs w:val="1"/>
                <w:color w:val="auto"/>
              </w:rPr>
            </w:pPr>
          </w:p>
        </w:tc>
      </w:tr>
      <w:tr>
        <w:trPr>
          <w:trHeight w:val="17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15,864</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income and other taxes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8,205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12,817</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employee stock purchase plan contributions withheld</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4,585</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warranty</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3,177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restructuring charges</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0" w:type="dxa"/>
            <w:vAlign w:val="bottom"/>
          </w:tcPr>
          <w:p>
            <w:pPr>
              <w:spacing w:after="0"/>
              <w:rPr>
                <w:sz w:val="1"/>
                <w:szCs w:val="1"/>
                <w:color w:val="auto"/>
              </w:rPr>
            </w:pPr>
          </w:p>
        </w:tc>
      </w:tr>
      <w:tr>
        <w:trPr>
          <w:trHeight w:val="18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accrued expenses</w:t>
            </w: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5,319</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3,401</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42,115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4—Acquisitions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Woburn Acquisition</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On June 9, 2022 we acquired the assets of the dilution refrigerator product line of American ULT Cryogenics, formerly d/b/a JanisULT (“Woburn”), for total consideration of $3.4 million. This acquisition added cryogen-free dilution refrigerators capable of cooling to sub-10 millikelvin to our product portfolio, which is required for operation of superconducting quantum computers.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acquisition price was allocated to the tangible and identified intangible assets acquired and liabilities assumed as of the closing date of the acquisition based upon their respective fair values. The fair values assigned to assets acquired and liabilities assumed were based on management’s assumptions as of the reporting date. Goodwill represents the excess of purchase price over the fair value assigned to the assets acquired and liabilities assumed and is allocated to the HPD reporting unit within the Systems reportable segment. The identified intangible asset, developed technology, has a useful life of three years.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0"/>
        </w:trPr>
        <w:tc>
          <w:tcPr>
            <w:tcW w:w="10100" w:type="dxa"/>
            <w:vAlign w:val="bottom"/>
          </w:tcPr>
          <w:p>
            <w:pPr>
              <w:ind w:left="4960"/>
              <w:spacing w:after="0"/>
              <w:rPr>
                <w:sz w:val="20"/>
                <w:szCs w:val="20"/>
                <w:color w:val="auto"/>
              </w:rPr>
            </w:pPr>
            <w:r>
              <w:rPr>
                <w:rFonts w:ascii="Times New Roman" w:cs="Times New Roman" w:eastAsia="Times New Roman" w:hAnsi="Times New Roman"/>
                <w:sz w:val="14"/>
                <w:szCs w:val="14"/>
                <w:b w:val="1"/>
                <w:bCs w:val="1"/>
                <w:color w:val="auto"/>
              </w:rPr>
              <w:t>FORMFACTOR, INC.</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6"/>
        </w:trPr>
        <w:tc>
          <w:tcPr>
            <w:tcW w:w="10100" w:type="dxa"/>
            <w:vAlign w:val="bottom"/>
          </w:tcPr>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94"/>
        </w:trPr>
        <w:tc>
          <w:tcPr>
            <w:tcW w:w="10100" w:type="dxa"/>
            <w:vAlign w:val="bottom"/>
          </w:tcPr>
          <w:p>
            <w:pPr>
              <w:spacing w:after="0"/>
              <w:rPr>
                <w:sz w:val="20"/>
                <w:szCs w:val="20"/>
                <w:color w:val="auto"/>
              </w:rPr>
            </w:pPr>
            <w:r>
              <w:rPr>
                <w:rFonts w:ascii="Times New Roman" w:cs="Times New Roman" w:eastAsia="Times New Roman" w:hAnsi="Times New Roman"/>
                <w:sz w:val="14"/>
                <w:szCs w:val="14"/>
                <w:color w:val="auto"/>
              </w:rPr>
              <w:t>The fair value of assets acquired, including goodwill and intangibles, and liabilities assumed for the purchase are as follows (in thousands):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9"/>
        </w:trPr>
        <w:tc>
          <w:tcPr>
            <w:tcW w:w="10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73"/>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r>
      <w:tr>
        <w:trPr>
          <w:trHeight w:val="180"/>
        </w:trPr>
        <w:tc>
          <w:tcPr>
            <w:tcW w:w="10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7,041</w:t>
            </w:r>
          </w:p>
        </w:tc>
      </w:tr>
      <w:tr>
        <w:trPr>
          <w:trHeight w:val="180"/>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r>
      <w:tr>
        <w:trPr>
          <w:trHeight w:val="180"/>
        </w:trPr>
        <w:tc>
          <w:tcPr>
            <w:tcW w:w="10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80"/>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w:t>
            </w:r>
          </w:p>
        </w:tc>
        <w:tc>
          <w:tcPr>
            <w:tcW w:w="2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1"/>
        </w:trPr>
        <w:tc>
          <w:tcPr>
            <w:tcW w:w="10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Tangible assets acquired</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7,843</w:t>
            </w:r>
          </w:p>
        </w:tc>
      </w:tr>
      <w:tr>
        <w:trPr>
          <w:trHeight w:val="180"/>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(5,513)</w:t>
            </w:r>
          </w:p>
        </w:tc>
      </w:tr>
      <w:tr>
        <w:trPr>
          <w:trHeight w:val="180"/>
        </w:trPr>
        <w:tc>
          <w:tcPr>
            <w:tcW w:w="10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1"/>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tangible assets acquired and liabilities assumed</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r>
      <w:tr>
        <w:trPr>
          <w:trHeight w:val="180"/>
        </w:trPr>
        <w:tc>
          <w:tcPr>
            <w:tcW w:w="10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80"/>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r>
      <w:tr>
        <w:trPr>
          <w:trHeight w:val="171"/>
        </w:trPr>
        <w:tc>
          <w:tcPr>
            <w:tcW w:w="10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3,350</w:t>
            </w:r>
          </w:p>
        </w:tc>
      </w:tr>
      <w:tr>
        <w:trPr>
          <w:trHeight w:val="20"/>
        </w:trPr>
        <w:tc>
          <w:tcPr>
            <w:tcW w:w="10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5—Divestiture</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September 18, 2023, the Company announced entry into a definitive agreement to sell its FRT Metrology (“FRT”) business to Camtek Ltd. (“Camtek”) for $100 million in cash, subject to customary purchase price adjustments. The Company acquired FRT GmbH in fiscal 2019 for total consideration of $24.4 million, net of cash acquired. Headquartered in Bergisch Gladbach, Germany, the FRT business is a leading supplier of high-precision metrology solutions for the Advanced Packaging and Silicon Carbide markets, and was part of the Company's Systems segment.</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November 1, 2023, we closed on the sale of the FRT business to Camtek and received net cash proceeds of $99.8 million, net of cash transferred and transaction expenses, and after customary adjustments for indebtedness and changes in net working capital. The disposition of the FRT business did not meet the criteria to be classified as a discontinued operation in the Company’s financial statements because the disposition did not represent a strategic shift that had, or will have, a major effect on the Company’s operations and financial results.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fair value of the sale proceeds received in connection with the divestiture, which are subject to further post-closing adjustment (in thousands):</w:t>
      </w:r>
    </w:p>
    <w:p>
      <w:pPr>
        <w:sectPr>
          <w:pgSz w:w="11900" w:h="16838" w:orient="portrait"/>
          <w:cols w:equalWidth="0" w:num="1">
            <w:col w:w="11280"/>
          </w:cols>
          <w:pgMar w:left="300" w:top="123" w:right="319" w:bottom="1440" w:gutter="0" w:footer="0" w:header="0"/>
        </w:sect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Fair value of sale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61530" cy="1212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Estimated working capital adjustment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transferred to the buyer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Direct costs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Fair value of sale consideration</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November 1, 2023</w:t>
      </w:r>
    </w:p>
    <w:p>
      <w:pPr>
        <w:spacing w:after="0" w:line="32" w:lineRule="exact"/>
        <w:rPr>
          <w:sz w:val="20"/>
          <w:szCs w:val="20"/>
          <w:color w:val="auto"/>
        </w:rPr>
      </w:pPr>
    </w:p>
    <w:p>
      <w:pPr>
        <w:ind w:left="980" w:hanging="975"/>
        <w:spacing w:after="0"/>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99,031</w:t>
      </w:r>
    </w:p>
    <w:p>
      <w:pPr>
        <w:spacing w:after="0" w:line="23" w:lineRule="exact"/>
        <w:rPr>
          <w:rFonts w:ascii="Times New Roman" w:cs="Times New Roman" w:eastAsia="Times New Roman" w:hAnsi="Times New Roman"/>
          <w:sz w:val="14"/>
          <w:szCs w:val="14"/>
          <w:color w:val="auto"/>
        </w:rPr>
      </w:pPr>
    </w:p>
    <w:p>
      <w:pPr>
        <w:ind w:left="10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4,029</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(2,049)</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(1,225)</w:t>
      </w:r>
    </w:p>
    <w:p>
      <w:pPr>
        <w:spacing w:after="0" w:line="26" w:lineRule="exact"/>
        <w:rPr>
          <w:sz w:val="20"/>
          <w:szCs w:val="20"/>
          <w:color w:val="auto"/>
        </w:rPr>
      </w:pPr>
    </w:p>
    <w:p>
      <w:pPr>
        <w:ind w:left="980" w:hanging="975"/>
        <w:spacing w:after="0"/>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99,786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90932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5">
                      <a:extLst>
                        <a:ext uri="{28A0092B-C50C-407E-A947-70E740481C1C}"/>
                      </a:extLst>
                    </a:blip>
                    <a:srcRect/>
                    <a:stretch>
                      <a:fillRect/>
                    </a:stretch>
                  </pic:blipFill>
                  <pic:spPr bwMode="auto">
                    <a:xfrm>
                      <a:off x="0" y="0"/>
                      <a:ext cx="909320"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9140" w:space="720"/>
            <w:col w:w="1420"/>
          </w:cols>
          <w:pgMar w:left="300" w:top="123" w:right="31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carrying amount of net assets associated with the FRT business was approximately $26.8 million. The major classes of assets and liabilities sold consisted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November 1, 2023</w:t>
            </w:r>
          </w:p>
        </w:tc>
        <w:tc>
          <w:tcPr>
            <w:tcW w:w="0" w:type="dxa"/>
            <w:vAlign w:val="bottom"/>
          </w:tcPr>
          <w:p>
            <w:pPr>
              <w:spacing w:after="0"/>
              <w:rPr>
                <w:sz w:val="1"/>
                <w:szCs w:val="1"/>
                <w:color w:val="auto"/>
              </w:rPr>
            </w:pPr>
          </w:p>
        </w:tc>
      </w:tr>
      <w:tr>
        <w:trPr>
          <w:trHeight w:val="161"/>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9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7,738</w:t>
            </w:r>
          </w:p>
        </w:tc>
        <w:tc>
          <w:tcPr>
            <w:tcW w:w="0" w:type="dxa"/>
            <w:vAlign w:val="bottom"/>
          </w:tcPr>
          <w:p>
            <w:pPr>
              <w:spacing w:after="0"/>
              <w:rPr>
                <w:sz w:val="1"/>
                <w:szCs w:val="1"/>
                <w:color w:val="auto"/>
              </w:rPr>
            </w:pPr>
          </w:p>
        </w:tc>
      </w:tr>
      <w:tr>
        <w:trPr>
          <w:trHeight w:val="180"/>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 net</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6,446</w:t>
            </w:r>
          </w:p>
        </w:tc>
        <w:tc>
          <w:tcPr>
            <w:tcW w:w="0" w:type="dxa"/>
            <w:vAlign w:val="bottom"/>
          </w:tcPr>
          <w:p>
            <w:pPr>
              <w:spacing w:after="0"/>
              <w:rPr>
                <w:sz w:val="1"/>
                <w:szCs w:val="1"/>
                <w:color w:val="auto"/>
              </w:rPr>
            </w:pPr>
          </w:p>
        </w:tc>
      </w:tr>
      <w:tr>
        <w:trPr>
          <w:trHeight w:val="180"/>
        </w:trPr>
        <w:tc>
          <w:tcPr>
            <w:tcW w:w="9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0" w:type="dxa"/>
            <w:vAlign w:val="bottom"/>
          </w:tcPr>
          <w:p>
            <w:pPr>
              <w:spacing w:after="0"/>
              <w:rPr>
                <w:sz w:val="1"/>
                <w:szCs w:val="1"/>
                <w:color w:val="auto"/>
              </w:rPr>
            </w:pPr>
          </w:p>
        </w:tc>
      </w:tr>
      <w:tr>
        <w:trPr>
          <w:trHeight w:val="171"/>
        </w:trPr>
        <w:tc>
          <w:tcPr>
            <w:tcW w:w="9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14,819</w:t>
            </w:r>
          </w:p>
        </w:tc>
        <w:tc>
          <w:tcPr>
            <w:tcW w:w="0" w:type="dxa"/>
            <w:vAlign w:val="bottom"/>
          </w:tcPr>
          <w:p>
            <w:pPr>
              <w:spacing w:after="0"/>
              <w:rPr>
                <w:sz w:val="1"/>
                <w:szCs w:val="1"/>
                <w:color w:val="auto"/>
              </w:rPr>
            </w:pPr>
          </w:p>
        </w:tc>
      </w:tr>
      <w:tr>
        <w:trPr>
          <w:trHeight w:val="180"/>
        </w:trPr>
        <w:tc>
          <w:tcPr>
            <w:tcW w:w="9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Intangibles, net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6,897</w:t>
            </w:r>
          </w:p>
        </w:tc>
        <w:tc>
          <w:tcPr>
            <w:tcW w:w="0" w:type="dxa"/>
            <w:vAlign w:val="bottom"/>
          </w:tcPr>
          <w:p>
            <w:pPr>
              <w:spacing w:after="0"/>
              <w:rPr>
                <w:sz w:val="1"/>
                <w:szCs w:val="1"/>
                <w:color w:val="auto"/>
              </w:rPr>
            </w:pPr>
          </w:p>
        </w:tc>
      </w:tr>
      <w:tr>
        <w:trPr>
          <w:trHeight w:val="180"/>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10,660</w:t>
            </w:r>
          </w:p>
        </w:tc>
        <w:tc>
          <w:tcPr>
            <w:tcW w:w="0" w:type="dxa"/>
            <w:vAlign w:val="bottom"/>
          </w:tcPr>
          <w:p>
            <w:pPr>
              <w:spacing w:after="0"/>
              <w:rPr>
                <w:sz w:val="1"/>
                <w:szCs w:val="1"/>
                <w:color w:val="auto"/>
              </w:rPr>
            </w:pPr>
          </w:p>
        </w:tc>
      </w:tr>
      <w:tr>
        <w:trPr>
          <w:trHeight w:val="180"/>
        </w:trPr>
        <w:tc>
          <w:tcPr>
            <w:tcW w:w="9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w:t>
            </w:r>
          </w:p>
        </w:tc>
        <w:tc>
          <w:tcPr>
            <w:tcW w:w="0" w:type="dxa"/>
            <w:vAlign w:val="bottom"/>
          </w:tcPr>
          <w:p>
            <w:pPr>
              <w:spacing w:after="0"/>
              <w:rPr>
                <w:sz w:val="1"/>
                <w:szCs w:val="1"/>
                <w:color w:val="auto"/>
              </w:rPr>
            </w:pPr>
          </w:p>
        </w:tc>
      </w:tr>
      <w:tr>
        <w:trPr>
          <w:trHeight w:val="196"/>
        </w:trPr>
        <w:tc>
          <w:tcPr>
            <w:tcW w:w="9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33,988</w:t>
            </w:r>
          </w:p>
        </w:tc>
        <w:tc>
          <w:tcPr>
            <w:tcW w:w="0" w:type="dxa"/>
            <w:vAlign w:val="bottom"/>
          </w:tcPr>
          <w:p>
            <w:pPr>
              <w:spacing w:after="0"/>
              <w:rPr>
                <w:sz w:val="1"/>
                <w:szCs w:val="1"/>
                <w:color w:val="auto"/>
              </w:rPr>
            </w:pPr>
          </w:p>
        </w:tc>
      </w:tr>
      <w:tr>
        <w:trPr>
          <w:trHeight w:val="20"/>
        </w:trPr>
        <w:tc>
          <w:tcPr>
            <w:tcW w:w="9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0" w:type="dxa"/>
            <w:vAlign w:val="bottom"/>
          </w:tcPr>
          <w:p>
            <w:pPr>
              <w:spacing w:after="0"/>
              <w:rPr>
                <w:sz w:val="1"/>
                <w:szCs w:val="1"/>
                <w:color w:val="auto"/>
              </w:rPr>
            </w:pPr>
          </w:p>
        </w:tc>
      </w:tr>
      <w:tr>
        <w:trPr>
          <w:trHeight w:val="180"/>
        </w:trPr>
        <w:tc>
          <w:tcPr>
            <w:tcW w:w="9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0" w:type="dxa"/>
            <w:vAlign w:val="bottom"/>
          </w:tcPr>
          <w:p>
            <w:pPr>
              <w:spacing w:after="0"/>
              <w:rPr>
                <w:sz w:val="1"/>
                <w:szCs w:val="1"/>
                <w:color w:val="auto"/>
              </w:rPr>
            </w:pPr>
          </w:p>
        </w:tc>
      </w:tr>
      <w:tr>
        <w:trPr>
          <w:trHeight w:val="196"/>
        </w:trPr>
        <w:tc>
          <w:tcPr>
            <w:tcW w:w="9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7,156</w:t>
            </w:r>
          </w:p>
        </w:tc>
        <w:tc>
          <w:tcPr>
            <w:tcW w:w="0" w:type="dxa"/>
            <w:vAlign w:val="bottom"/>
          </w:tcPr>
          <w:p>
            <w:pPr>
              <w:spacing w:after="0"/>
              <w:rPr>
                <w:sz w:val="1"/>
                <w:szCs w:val="1"/>
                <w:color w:val="auto"/>
              </w:rPr>
            </w:pP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result of the divestiture, the Company recognized a pre-tax gain of $73.0 million. The Company recorded an income tax liability associated with the divestiture of approximately $5.9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6—Debt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debt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20" w:type="dxa"/>
            <w:vAlign w:val="bottom"/>
          </w:tcPr>
          <w:p>
            <w:pPr>
              <w:spacing w:after="0"/>
              <w:rPr>
                <w:sz w:val="14"/>
                <w:szCs w:val="14"/>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r>
      <w:tr>
        <w:trPr>
          <w:trHeight w:val="173"/>
        </w:trPr>
        <w:tc>
          <w:tcPr>
            <w:tcW w:w="8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15,499</w:t>
            </w:r>
          </w:p>
        </w:tc>
      </w:tr>
      <w:tr>
        <w:trPr>
          <w:trHeight w:val="18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unamortized issuance costs</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96"/>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less issuance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15,434</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June 22, 2020, we entered into an $18.0 million 15-year credit facility loan agreement (the “Building Term Loan”) with MUFG Union Bank, National Association (“Union Bank”). The proceeds of the Building Term Loan were used to purchase a building adjacent to our leased facilities in Livermore, California. On May 19, 2023, we amended the Building Term Loan, replacing the benchmark reference rate LIBOR with SOFR, with no change to the amount or timing of contractual cash flows.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Building Term Loan bears interest at a rate equal to the applicable SOFR rate, plus 0.1148%, plus 1.75% per annum. Interest payments are payable in monthly installments over a fifteen-year period. The interest rate at December 30, 2023 was 7.20% before consideration of the interest rate swap.</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On March 17, 2020, we entered into an interest rate swap agreement with Union Bank to hedge the interest payments on the Building Term Loan for the notional amount of $18.0 million. As future levels of LIBOR over the life of the loan were uncertain, we entered into this interest-rate swap agreement to hedge the exposure in interest rate risks associated with movement in LIBOR rates. This agreement was amended on May 19, 2023 to replace the benchmark reference rate LIBOR with SOFR to match the Building Term Loan agreement (as amended). After the amendment, the interest rate swap continues to convert our floating-rate interest into a fixed-rate of 2.75%. As of December 30, 2023, the notional amount of the loan that is subject to this interest rate swap was $14.4 million. See Note 10, </w:t>
      </w:r>
      <w:r>
        <w:rPr>
          <w:rFonts w:ascii="Times New Roman" w:cs="Times New Roman" w:eastAsia="Times New Roman" w:hAnsi="Times New Roman"/>
          <w:sz w:val="14"/>
          <w:szCs w:val="14"/>
          <w:i w:val="1"/>
          <w:iCs w:val="1"/>
          <w:color w:val="auto"/>
        </w:rPr>
        <w:t>Fair Value</w:t>
      </w:r>
      <w:r>
        <w:rPr>
          <w:rFonts w:ascii="Times New Roman" w:cs="Times New Roman" w:eastAsia="Times New Roman" w:hAnsi="Times New Roman"/>
          <w:sz w:val="14"/>
          <w:szCs w:val="14"/>
          <w:color w:val="auto"/>
        </w:rPr>
        <w:t>, for additional information.</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obligations under the Building Term Loan are guaranteed by a deed of trust covering certain real property and improvements and certain personal property used in connection therewith. The deed of trust creates a first priority lien or encumbrance on the property with only such exceptions as may be approved by Union Bank in writing.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Building Term Loan contains covenants customary for financing of this type. As of December 30, 2023, the balance outstanding pursuant to the Building Term Loan was $14.4 million.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Future principal and interest payments on our term loans as of December 30, 2023, based on the interest rate in effect at that date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Payments Due In Fiscal Year</w:t>
            </w: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61"/>
        </w:trPr>
        <w:tc>
          <w:tcPr>
            <w:tcW w:w="30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52"/>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2028</w:t>
            </w:r>
          </w:p>
        </w:tc>
        <w:tc>
          <w:tcPr>
            <w:tcW w:w="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2029 and thereafter</w:t>
            </w: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 principal payments</w:t>
            </w:r>
          </w:p>
        </w:tc>
        <w:tc>
          <w:tcPr>
            <w:tcW w:w="700" w:type="dxa"/>
            <w:vAlign w:val="bottom"/>
            <w:tcBorders>
              <w:top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14,448</w:t>
            </w:r>
          </w:p>
        </w:tc>
      </w:tr>
      <w:tr>
        <w:trPr>
          <w:trHeight w:val="180"/>
        </w:trPr>
        <w:tc>
          <w:tcPr>
            <w:tcW w:w="304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Term loans - interest payments</w:t>
            </w:r>
            <w:r>
              <w:rPr>
                <w:rFonts w:ascii="Times New Roman" w:cs="Times New Roman" w:eastAsia="Times New Roman" w:hAnsi="Times New Roman"/>
                <w:sz w:val="18"/>
                <w:szCs w:val="18"/>
                <w:color w:val="auto"/>
                <w:vertAlign w:val="superscript"/>
              </w:rPr>
              <w:t>(1)</w:t>
            </w: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6,443</w:t>
            </w:r>
          </w:p>
        </w:tc>
      </w:tr>
      <w:tr>
        <w:trPr>
          <w:trHeight w:val="196"/>
        </w:trPr>
        <w:tc>
          <w:tcPr>
            <w:tcW w:w="30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20,891</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140" w:hanging="135"/>
        <w:spacing w:after="0"/>
        <w:tabs>
          <w:tab w:leader="none" w:pos="140" w:val="left"/>
        </w:tabs>
        <w:numPr>
          <w:ilvl w:val="0"/>
          <w:numId w:val="2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our minimum interest payment commitment at 7.20% per annum, excluding the interest rate swap described above.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7—Leases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operating lease, right-of-use assets relate to real estate space under non-cancelable operating lease agreements for commercial and industrial space, as well as for our corporate headquarters located in Livermore, California. Our leases have remaining terms of 1 to 11 years, and some leases include options to extend up to 20 years. We did not include any of our renewal options in our lease terms for calculating our lease liability as the renewal options allow us to maintain operational flexibility and we are not reasonably certain we will exercise these options at this time. The weighted-average remaining lease term for our operating leases was 4.6 years at December 30, 2023 and the weighted-average discount rate was 4.60%.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lease expense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Lease Expense</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2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120" w:type="dxa"/>
            <w:vAlign w:val="bottom"/>
          </w:tcPr>
          <w:p>
            <w:pPr>
              <w:spacing w:after="0"/>
              <w:rPr>
                <w:sz w:val="14"/>
                <w:szCs w:val="14"/>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w w:val="98"/>
              </w:rPr>
              <w:t>December 25, 2021</w:t>
            </w:r>
          </w:p>
        </w:tc>
      </w:tr>
      <w:tr>
        <w:trPr>
          <w:trHeight w:val="172"/>
        </w:trPr>
        <w:tc>
          <w:tcPr>
            <w:tcW w:w="71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8,485</w:t>
            </w:r>
          </w:p>
        </w:tc>
      </w:tr>
      <w:tr>
        <w:trPr>
          <w:trHeight w:val="180"/>
        </w:trPr>
        <w:tc>
          <w:tcPr>
            <w:tcW w:w="7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Short-term lease expense</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180"/>
        </w:trPr>
        <w:tc>
          <w:tcPr>
            <w:tcW w:w="7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Variable lease expense</w:t>
            </w: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w:t>
            </w:r>
          </w:p>
        </w:tc>
      </w:tr>
      <w:tr>
        <w:trPr>
          <w:trHeight w:val="171"/>
        </w:trPr>
        <w:tc>
          <w:tcPr>
            <w:tcW w:w="71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11,366</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11,373</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10,507</w:t>
            </w:r>
          </w:p>
        </w:tc>
      </w:tr>
      <w:tr>
        <w:trPr>
          <w:trHeight w:val="20"/>
        </w:trPr>
        <w:tc>
          <w:tcPr>
            <w:tcW w:w="7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17"/>
        </w:trPr>
        <w:tc>
          <w:tcPr>
            <w:tcW w:w="7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Future minimum payments under our non-cancelable operating leases were as follows as of December 30, 2023 (in thousands):</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9"/>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7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9,337</w:t>
            </w:r>
          </w:p>
        </w:tc>
      </w:tr>
      <w:tr>
        <w:trPr>
          <w:trHeight w:val="18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9,215</w:t>
            </w:r>
          </w:p>
        </w:tc>
      </w:tr>
      <w:tr>
        <w:trPr>
          <w:trHeight w:val="18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7,586</w:t>
            </w:r>
          </w:p>
        </w:tc>
      </w:tr>
      <w:tr>
        <w:trPr>
          <w:trHeight w:val="18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7,154</w:t>
            </w:r>
          </w:p>
        </w:tc>
      </w:tr>
      <w:tr>
        <w:trPr>
          <w:trHeight w:val="18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3,870</w:t>
            </w:r>
          </w:p>
        </w:tc>
      </w:tr>
      <w:tr>
        <w:trPr>
          <w:trHeight w:val="18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1,432</w:t>
            </w:r>
          </w:p>
        </w:tc>
      </w:tr>
      <w:tr>
        <w:trPr>
          <w:trHeight w:val="171"/>
        </w:trPr>
        <w:tc>
          <w:tcPr>
            <w:tcW w:w="7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38,594</w:t>
            </w:r>
          </w:p>
        </w:tc>
      </w:tr>
      <w:tr>
        <w:trPr>
          <w:trHeight w:val="18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interest</w:t>
            </w: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(4,838)</w:t>
            </w:r>
          </w:p>
        </w:tc>
      </w:tr>
      <w:tr>
        <w:trPr>
          <w:trHeight w:val="171"/>
        </w:trPr>
        <w:tc>
          <w:tcPr>
            <w:tcW w:w="7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Present value of net minimum lease payments</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33,756</w:t>
            </w:r>
          </w:p>
        </w:tc>
      </w:tr>
      <w:tr>
        <w:trPr>
          <w:trHeight w:val="18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(8,422)</w:t>
            </w:r>
          </w:p>
        </w:tc>
      </w:tr>
      <w:tr>
        <w:trPr>
          <w:trHeight w:val="196"/>
        </w:trPr>
        <w:tc>
          <w:tcPr>
            <w:tcW w:w="7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long-term operating lease liabilities</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25,334</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8—Restructuring Charges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2022 Restructuring Plan</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On October 25, 2022, we adopted a restructuring plan (“2022 restructuring plan”) to align our cost structure with reduced demand levels, by streamlining and improving the efficiency and business effectiveness of our operations. This plan included lowering headcount by approximately 13% of our workforce.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recognized 2022 restructuring plan charges of approximately $1.1 million for the year ended December 30, 2023, all within the Probe Cards segment. The Company has recognized total 2022 restructuring plan charges of $8.1 million for</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severance and employee-related costs, including $0.3 million for stock-based compensation, with $7.1 million within the Probe Cards segment, $0.5 million within the Systems segment, and $0.5 million within Corporate. We do not expect to incur additional material costs related to the 2022 restructuring plan.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2021 Restructuring Plan</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September 25, 2021, we adopted restructuring plans (“2021 restructuring plans”) to improve our business effectiveness and streamline our operations by consolidating certain manufacturing facilities for both the Probe Cards segment and the Systems segment. This included plans to consolidate or relocate certain leased locations in the United States to other locations in the United States, Germany and Asia. As a result of these changes to certain work locations, we have incurred personnel related costs to sever, relocate, or retain select employees. Additionally, as part of these plans we have undertaken actions to adjust capacity for certain product offerings, which included contract termination costs to satisfy contract obligations.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recognized 2021 restructuring plans charges of approximately $0.8 million for the year ended December 30, 2023, with $0.3 million within the Probe Cards segment and $0.5 million within the Systems segment. The Company has recognized total 2021 restructuring plan charges of $13.3 million, with $10.1 million within the Probe Cards segment and $3.2 million within the Systems segment, and were comprised of $1.4 million of severance and employee-related costs, $2.0 million in contract and lease termination costs, $9.4 million in inventory impairments and other inventory related costs, and $0.5 million of cost related to impairment of leasehold improvements, facility exits and other costs. We do not expect to incur additional material costs related to the 2021 Restructuring Plans.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restructuring charges for both the 2022 and 2021 restructuring plans included in our Consolidated Statements of Income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20" w:type="dxa"/>
            <w:vAlign w:val="bottom"/>
          </w:tcPr>
          <w:p>
            <w:pPr>
              <w:spacing w:after="0"/>
              <w:rPr>
                <w:sz w:val="14"/>
                <w:szCs w:val="14"/>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w w:val="98"/>
              </w:rPr>
              <w:t>December 25, 2021</w:t>
            </w:r>
          </w:p>
        </w:tc>
      </w:tr>
      <w:tr>
        <w:trPr>
          <w:trHeight w:val="172"/>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11,775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3,205</w:t>
            </w:r>
          </w:p>
        </w:tc>
      </w:tr>
      <w:tr>
        <w:trPr>
          <w:trHeight w:val="180"/>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r>
      <w:tr>
        <w:trPr>
          <w:trHeight w:val="18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2,166</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71"/>
        </w:trPr>
        <w:tc>
          <w:tcPr>
            <w:tcW w:w="7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140" w:type="dxa"/>
            <w:vAlign w:val="bottom"/>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15,439</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4,124</w:t>
            </w:r>
          </w:p>
        </w:tc>
      </w:tr>
      <w:tr>
        <w:trPr>
          <w:trHeight w:val="20"/>
        </w:trPr>
        <w:tc>
          <w:tcPr>
            <w:tcW w:w="7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to the restructuring accrual during the years ended December 31, 2022 and December 30, 2023 were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Inventory</w:t>
            </w:r>
          </w:p>
        </w:tc>
        <w:tc>
          <w:tcPr>
            <w:tcW w:w="180" w:type="dxa"/>
            <w:vAlign w:val="bottom"/>
          </w:tcPr>
          <w:p>
            <w:pPr>
              <w:spacing w:after="0"/>
              <w:rPr>
                <w:sz w:val="12"/>
                <w:szCs w:val="12"/>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Property and</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Employee</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Equipment</w:t>
            </w:r>
          </w:p>
        </w:tc>
        <w:tc>
          <w:tcPr>
            <w:tcW w:w="160" w:type="dxa"/>
            <w:vAlign w:val="bottom"/>
          </w:tcPr>
          <w:p>
            <w:pPr>
              <w:spacing w:after="0"/>
              <w:rPr>
                <w:sz w:val="11"/>
                <w:szCs w:val="11"/>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Contract</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Stock-based</w:t>
            </w: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Impairments &amp;</w:t>
            </w:r>
          </w:p>
        </w:tc>
        <w:tc>
          <w:tcPr>
            <w:tcW w:w="180" w:type="dxa"/>
            <w:vAlign w:val="bottom"/>
          </w:tcPr>
          <w:p>
            <w:pPr>
              <w:spacing w:after="0"/>
              <w:rPr>
                <w:sz w:val="11"/>
                <w:szCs w:val="11"/>
                <w:color w:val="auto"/>
              </w:rPr>
            </w:pPr>
          </w:p>
        </w:tc>
        <w:tc>
          <w:tcPr>
            <w:tcW w:w="13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Impairments &amp;</w:t>
            </w:r>
          </w:p>
        </w:tc>
        <w:tc>
          <w:tcPr>
            <w:tcW w:w="1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Severance</w:t>
            </w: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8"/>
              </w:rPr>
              <w:t>Other Inventory</w:t>
            </w:r>
          </w:p>
        </w:tc>
        <w:tc>
          <w:tcPr>
            <w:tcW w:w="180" w:type="dxa"/>
            <w:vAlign w:val="bottom"/>
          </w:tcPr>
          <w:p>
            <w:pPr>
              <w:spacing w:after="0"/>
              <w:rPr>
                <w:sz w:val="11"/>
                <w:szCs w:val="11"/>
                <w:color w:val="auto"/>
              </w:rPr>
            </w:pPr>
          </w:p>
        </w:tc>
        <w:tc>
          <w:tcPr>
            <w:tcW w:w="13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 Asset</w:t>
            </w: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Termination &amp;</w:t>
            </w:r>
          </w:p>
        </w:tc>
        <w:tc>
          <w:tcPr>
            <w:tcW w:w="260" w:type="dxa"/>
            <w:vAlign w:val="bottom"/>
          </w:tcPr>
          <w:p>
            <w:pPr>
              <w:spacing w:after="0"/>
              <w:rPr>
                <w:sz w:val="11"/>
                <w:szCs w:val="11"/>
                <w:color w:val="auto"/>
              </w:rPr>
            </w:pPr>
          </w:p>
        </w:tc>
        <w:tc>
          <w:tcPr>
            <w:tcW w:w="900" w:type="dxa"/>
            <w:vAlign w:val="bottom"/>
            <w:vMerge w:val="restart"/>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and Benefits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Related Costs</w:t>
            </w: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Related Costs</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Other Costs</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25, 2021</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1,450</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2,478</w:t>
            </w:r>
          </w:p>
        </w:tc>
        <w:tc>
          <w:tcPr>
            <w:tcW w:w="0" w:type="dxa"/>
            <w:vAlign w:val="bottom"/>
          </w:tcPr>
          <w:p>
            <w:pPr>
              <w:spacing w:after="0"/>
              <w:rPr>
                <w:sz w:val="1"/>
                <w:szCs w:val="1"/>
                <w:color w:val="auto"/>
              </w:rPr>
            </w:pPr>
          </w:p>
        </w:tc>
      </w:tr>
      <w:tr>
        <w:trPr>
          <w:trHeight w:val="168"/>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Restructuring charges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15,586</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payments</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(9,991)</w:t>
            </w:r>
          </w:p>
        </w:tc>
        <w:tc>
          <w:tcPr>
            <w:tcW w:w="0" w:type="dxa"/>
            <w:vAlign w:val="bottom"/>
          </w:tcPr>
          <w:p>
            <w:pPr>
              <w:spacing w:after="0"/>
              <w:rPr>
                <w:sz w:val="1"/>
                <w:szCs w:val="1"/>
                <w:color w:val="auto"/>
              </w:rPr>
            </w:pPr>
          </w:p>
        </w:tc>
      </w:tr>
      <w:tr>
        <w:trPr>
          <w:trHeight w:val="168"/>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 to restructuring charges</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settlement</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(6,677)</w:t>
            </w:r>
          </w:p>
        </w:tc>
        <w:tc>
          <w:tcPr>
            <w:tcW w:w="0" w:type="dxa"/>
            <w:vAlign w:val="bottom"/>
          </w:tcPr>
          <w:p>
            <w:pPr>
              <w:spacing w:after="0"/>
              <w:rPr>
                <w:sz w:val="1"/>
                <w:szCs w:val="1"/>
                <w:color w:val="auto"/>
              </w:rPr>
            </w:pPr>
          </w:p>
        </w:tc>
      </w:tr>
      <w:tr>
        <w:trPr>
          <w:trHeight w:val="158"/>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1,249</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1,249</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Restructuring charges</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1,835</w:t>
            </w:r>
          </w:p>
        </w:tc>
        <w:tc>
          <w:tcPr>
            <w:tcW w:w="0" w:type="dxa"/>
            <w:vAlign w:val="bottom"/>
          </w:tcPr>
          <w:p>
            <w:pPr>
              <w:spacing w:after="0"/>
              <w:rPr>
                <w:sz w:val="1"/>
                <w:szCs w:val="1"/>
                <w:color w:val="auto"/>
              </w:rPr>
            </w:pPr>
          </w:p>
        </w:tc>
      </w:tr>
      <w:tr>
        <w:trPr>
          <w:trHeight w:val="168"/>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payments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(2,488)</w:t>
            </w:r>
          </w:p>
        </w:tc>
        <w:tc>
          <w:tcPr>
            <w:tcW w:w="0" w:type="dxa"/>
            <w:vAlign w:val="bottom"/>
          </w:tcPr>
          <w:p>
            <w:pPr>
              <w:spacing w:after="0"/>
              <w:rPr>
                <w:sz w:val="1"/>
                <w:szCs w:val="1"/>
                <w:color w:val="auto"/>
              </w:rPr>
            </w:pPr>
          </w:p>
        </w:tc>
      </w:tr>
      <w:tr>
        <w:trPr>
          <w:trHeight w:val="172"/>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settlement</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0" w:type="dxa"/>
            <w:vAlign w:val="bottom"/>
          </w:tcPr>
          <w:p>
            <w:pPr>
              <w:spacing w:after="0"/>
              <w:rPr>
                <w:sz w:val="1"/>
                <w:szCs w:val="1"/>
                <w:color w:val="auto"/>
              </w:rPr>
            </w:pPr>
          </w:p>
        </w:tc>
      </w:tr>
      <w:tr>
        <w:trPr>
          <w:trHeight w:val="15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9—Derivative Financial Instruments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Exchange Derivative Contracts</w:t>
      </w:r>
    </w:p>
    <w:p>
      <w:pPr>
        <w:spacing w:after="0" w:line="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operate and sell our products in various global markets. As a result, we are exposed to changes in foreign currency exchange rates. We utilize foreign currency forward contracts to hedge against future movements in foreign exchange rates that affect certain existing foreign currency denominated assets and liabilities and forecasted foreign currency revenue and expense transactions. Under this program, our strategy is to have increases or decreases in our foreign currency exposures mitigated by gains or losses on the foreign currency forward contracts in order to mitigate the risks and volatility associated with foreign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currency transaction gains or losses.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do not use derivative financial instruments for speculative or trading purposes. For accounting purposes, certain of our foreign currency forward contracts are not designated as hedging instruments and, accordingly, we record the fair value of these contracts as of the end of our reporting period in our Consolidated Balance Sheets with changes in fair value recorded within Other income (expense), net in our Consolidated Statements of Income for both realized and unrealized gains and losses. Certain of our foreign currency forward contracts are designated as cash flow hedges, and, accordingly, we record the fair value of these contracts as of the end of our reporting period in our Consolidated Balance Sheets with changes in fair value recorded as a component of Accumulated other comprehensive loss and reclassified into earnings in the same period in which the hedged transaction affects earnings, and in the same line item on the Consolidated Statements of Income as the impact of the hedge transaction. At December 30, 2023, we expect to reclassify $0.3 million of the amount accumulated in other comprehensive loss to earnings during the next 12 months, due to the recognition in earnings of the hedged forecasted transactions.</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fair value of our foreign exchange derivative contracts was determined based on current foreign currency exchange rates and forward points. All of our foreign exchange derivative contracts outstanding at December 30, 2023 will mature by the fourth quarter of fiscal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about our foreign currency forward contracts outstanding as of December 30, 2023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00" w:type="dxa"/>
            <w:vAlign w:val="bottom"/>
            <w:gridSpan w:val="2"/>
            <w:vMerge w:val="restart"/>
          </w:tcPr>
          <w:p>
            <w:pPr>
              <w:ind w:left="272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17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Contract Position</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Contract Amount (Local</w:t>
            </w:r>
          </w:p>
        </w:tc>
        <w:tc>
          <w:tcPr>
            <w:tcW w:w="140" w:type="dxa"/>
            <w:vAlign w:val="bottom"/>
          </w:tcPr>
          <w:p>
            <w:pPr>
              <w:spacing w:after="0"/>
              <w:rPr>
                <w:sz w:val="12"/>
                <w:szCs w:val="12"/>
                <w:color w:val="auto"/>
              </w:rPr>
            </w:pP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Contract Amount (U.S.</w:t>
            </w:r>
          </w:p>
        </w:tc>
        <w:tc>
          <w:tcPr>
            <w:tcW w:w="0" w:type="dxa"/>
            <w:vAlign w:val="bottom"/>
          </w:tcPr>
          <w:p>
            <w:pPr>
              <w:spacing w:after="0"/>
              <w:rPr>
                <w:sz w:val="1"/>
                <w:szCs w:val="1"/>
                <w:color w:val="auto"/>
              </w:rPr>
            </w:pPr>
          </w:p>
        </w:tc>
      </w:tr>
      <w:tr>
        <w:trPr>
          <w:trHeight w:val="169"/>
        </w:trPr>
        <w:tc>
          <w:tcPr>
            <w:tcW w:w="6100" w:type="dxa"/>
            <w:vAlign w:val="bottom"/>
            <w:gridSpan w:val="2"/>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140" w:type="dxa"/>
            <w:vAlign w:val="bottom"/>
          </w:tcPr>
          <w:p>
            <w:pPr>
              <w:spacing w:after="0"/>
              <w:rPr>
                <w:sz w:val="14"/>
                <w:szCs w:val="14"/>
                <w:color w:val="auto"/>
              </w:rPr>
            </w:pPr>
          </w:p>
        </w:tc>
        <w:tc>
          <w:tcPr>
            <w:tcW w:w="1500" w:type="dxa"/>
            <w:vAlign w:val="bottom"/>
          </w:tcPr>
          <w:p>
            <w:pPr>
              <w:jc w:val="right"/>
              <w:ind w:right="532"/>
              <w:spacing w:after="0"/>
              <w:rPr>
                <w:sz w:val="20"/>
                <w:szCs w:val="20"/>
                <w:color w:val="auto"/>
              </w:rPr>
            </w:pPr>
            <w:r>
              <w:rPr>
                <w:rFonts w:ascii="Times New Roman" w:cs="Times New Roman" w:eastAsia="Times New Roman" w:hAnsi="Times New Roman"/>
                <w:sz w:val="13"/>
                <w:szCs w:val="13"/>
                <w:b w:val="1"/>
                <w:bCs w:val="1"/>
                <w:color w:val="auto"/>
              </w:rPr>
              <w:t>Dollars)</w:t>
            </w:r>
          </w:p>
        </w:tc>
        <w:tc>
          <w:tcPr>
            <w:tcW w:w="0" w:type="dxa"/>
            <w:vAlign w:val="bottom"/>
          </w:tcPr>
          <w:p>
            <w:pPr>
              <w:spacing w:after="0"/>
              <w:rPr>
                <w:sz w:val="1"/>
                <w:szCs w:val="1"/>
                <w:color w:val="auto"/>
              </w:rPr>
            </w:pPr>
          </w:p>
        </w:tc>
      </w:tr>
      <w:tr>
        <w:trPr>
          <w:trHeight w:val="172"/>
        </w:trPr>
        <w:tc>
          <w:tcPr>
            <w:tcW w:w="5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w:t>
            </w:r>
          </w:p>
        </w:tc>
        <w:tc>
          <w:tcPr>
            <w:tcW w:w="14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Buy</w:t>
            </w:r>
          </w:p>
        </w:tc>
        <w:tc>
          <w:tcPr>
            <w:tcW w:w="12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26,597</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29,224</w:t>
            </w:r>
          </w:p>
        </w:tc>
        <w:tc>
          <w:tcPr>
            <w:tcW w:w="0" w:type="dxa"/>
            <w:vAlign w:val="bottom"/>
          </w:tcPr>
          <w:p>
            <w:pPr>
              <w:spacing w:after="0"/>
              <w:rPr>
                <w:sz w:val="1"/>
                <w:szCs w:val="1"/>
                <w:color w:val="auto"/>
              </w:rPr>
            </w:pPr>
          </w:p>
        </w:tc>
      </w:tr>
      <w:tr>
        <w:trPr>
          <w:trHeight w:val="18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Japanese Yen</w:t>
            </w:r>
          </w:p>
        </w:tc>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Sell</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2,961,827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21,073</w:t>
            </w:r>
          </w:p>
        </w:tc>
        <w:tc>
          <w:tcPr>
            <w:tcW w:w="0" w:type="dxa"/>
            <w:vAlign w:val="bottom"/>
          </w:tcPr>
          <w:p>
            <w:pPr>
              <w:spacing w:after="0"/>
              <w:rPr>
                <w:sz w:val="1"/>
                <w:szCs w:val="1"/>
                <w:color w:val="auto"/>
              </w:rPr>
            </w:pPr>
          </w:p>
        </w:tc>
      </w:tr>
      <w:tr>
        <w:trPr>
          <w:trHeight w:val="18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Korean Won</w:t>
            </w: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Buy</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2,334,329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0" w:type="dxa"/>
            <w:vAlign w:val="bottom"/>
          </w:tcPr>
          <w:p>
            <w:pPr>
              <w:spacing w:after="0"/>
              <w:rPr>
                <w:sz w:val="1"/>
                <w:szCs w:val="1"/>
                <w:color w:val="auto"/>
              </w:rPr>
            </w:pPr>
          </w:p>
        </w:tc>
      </w:tr>
      <w:tr>
        <w:trPr>
          <w:trHeight w:val="18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Taiwan Dollar</w:t>
            </w:r>
          </w:p>
        </w:tc>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Sell</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foreign currency contracts are classified within Level 2 of the fair value hierarchy as they are valued using pricing models that utilize observable market inputs.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location and amount of gains related to non-designated derivative instruments in the Consolidated Statements of Income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277"/>
        </w:trPr>
        <w:tc>
          <w:tcPr>
            <w:tcW w:w="394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Derivatives Not Designated as Hedging Instruments</w:t>
            </w:r>
          </w:p>
        </w:tc>
        <w:tc>
          <w:tcPr>
            <w:tcW w:w="3160" w:type="dxa"/>
            <w:vAlign w:val="bottom"/>
            <w:gridSpan w:val="2"/>
          </w:tcPr>
          <w:p>
            <w:pPr>
              <w:ind w:left="740"/>
              <w:spacing w:after="0"/>
              <w:rPr>
                <w:sz w:val="20"/>
                <w:szCs w:val="20"/>
                <w:color w:val="auto"/>
              </w:rPr>
            </w:pPr>
            <w:r>
              <w:rPr>
                <w:rFonts w:ascii="Times New Roman" w:cs="Times New Roman" w:eastAsia="Times New Roman" w:hAnsi="Times New Roman"/>
                <w:sz w:val="13"/>
                <w:szCs w:val="13"/>
                <w:b w:val="1"/>
                <w:bCs w:val="1"/>
                <w:color w:val="auto"/>
              </w:rPr>
              <w:t>Location of Gain Recognized</w:t>
            </w:r>
          </w:p>
        </w:tc>
        <w:tc>
          <w:tcPr>
            <w:tcW w:w="1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20" w:type="dxa"/>
            <w:vAlign w:val="bottom"/>
          </w:tcPr>
          <w:p>
            <w:pPr>
              <w:spacing w:after="0"/>
              <w:rPr>
                <w:sz w:val="24"/>
                <w:szCs w:val="24"/>
                <w:color w:val="auto"/>
              </w:rPr>
            </w:pP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w w:val="98"/>
              </w:rPr>
              <w:t>December 25, 2021</w:t>
            </w:r>
          </w:p>
        </w:tc>
      </w:tr>
      <w:tr>
        <w:trPr>
          <w:trHeight w:val="173"/>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forward contracts</w:t>
            </w:r>
          </w:p>
        </w:tc>
        <w:tc>
          <w:tcPr>
            <w:tcW w:w="100" w:type="dxa"/>
            <w:vAlign w:val="bottom"/>
            <w:tcBorders>
              <w:top w:val="single" w:sz="8" w:color="CCEEFF"/>
            </w:tcBorders>
            <w:shd w:val="clear" w:color="auto" w:fill="CCEEFF"/>
          </w:tcPr>
          <w:p>
            <w:pPr>
              <w:spacing w:after="0"/>
              <w:rPr>
                <w:sz w:val="15"/>
                <w:szCs w:val="15"/>
                <w:color w:val="auto"/>
              </w:rPr>
            </w:pPr>
          </w:p>
        </w:tc>
        <w:tc>
          <w:tcPr>
            <w:tcW w:w="30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location and amount of gains (losses) related to foreign currency derivative instruments designated as cash flow hedges on our Consolidated Statements of Income was as follows (in thousands):</w:t>
      </w:r>
    </w:p>
    <w:p>
      <w:pPr>
        <w:spacing w:after="0" w:line="26" w:lineRule="exact"/>
        <w:rPr>
          <w:sz w:val="20"/>
          <w:szCs w:val="20"/>
          <w:color w:val="auto"/>
        </w:rPr>
      </w:pPr>
    </w:p>
    <w:tbl>
      <w:tblPr>
        <w:tblLayout w:type="fixed"/>
        <w:tblInd w:w="3820" w:type="dxa"/>
        <w:tblCellMar>
          <w:top w:w="0" w:type="dxa"/>
          <w:left w:w="0" w:type="dxa"/>
          <w:bottom w:w="0" w:type="dxa"/>
          <w:right w:w="0" w:type="dxa"/>
        </w:tblCellMar>
      </w:tblPr>
      <w:tr>
        <w:trPr>
          <w:trHeight w:val="126"/>
        </w:trPr>
        <w:tc>
          <w:tcPr>
            <w:tcW w:w="1940" w:type="dxa"/>
            <w:vAlign w:val="bottom"/>
            <w:vMerge w:val="restart"/>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rPr>
              <w:t>Amount of Gain or (Loss)</w:t>
            </w:r>
          </w:p>
        </w:tc>
        <w:tc>
          <w:tcPr>
            <w:tcW w:w="3640" w:type="dxa"/>
            <w:vAlign w:val="bottom"/>
          </w:tcPr>
          <w:p>
            <w:pPr>
              <w:spacing w:after="0"/>
              <w:rPr>
                <w:sz w:val="11"/>
                <w:szCs w:val="11"/>
                <w:color w:val="auto"/>
              </w:rPr>
            </w:pPr>
          </w:p>
        </w:tc>
        <w:tc>
          <w:tcPr>
            <w:tcW w:w="1700" w:type="dxa"/>
            <w:vAlign w:val="bottom"/>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rPr>
              <w:t>Amount of Gain or (Loss)</w:t>
            </w:r>
          </w:p>
        </w:tc>
        <w:tc>
          <w:tcPr>
            <w:tcW w:w="0" w:type="dxa"/>
            <w:vAlign w:val="bottom"/>
          </w:tcPr>
          <w:p>
            <w:pPr>
              <w:spacing w:after="0"/>
              <w:rPr>
                <w:sz w:val="1"/>
                <w:szCs w:val="1"/>
                <w:color w:val="auto"/>
              </w:rPr>
            </w:pPr>
          </w:p>
        </w:tc>
      </w:tr>
      <w:tr>
        <w:trPr>
          <w:trHeight w:val="115"/>
        </w:trPr>
        <w:tc>
          <w:tcPr>
            <w:tcW w:w="1940" w:type="dxa"/>
            <w:vAlign w:val="bottom"/>
            <w:vMerge w:val="continue"/>
          </w:tcPr>
          <w:p>
            <w:pPr>
              <w:spacing w:after="0"/>
              <w:rPr>
                <w:sz w:val="9"/>
                <w:szCs w:val="9"/>
                <w:color w:val="auto"/>
              </w:rPr>
            </w:pPr>
          </w:p>
        </w:tc>
        <w:tc>
          <w:tcPr>
            <w:tcW w:w="3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Location of Gain or (Loss) Reclassified from AOCL into Income</w:t>
            </w:r>
          </w:p>
        </w:tc>
        <w:tc>
          <w:tcPr>
            <w:tcW w:w="1700" w:type="dxa"/>
            <w:vAlign w:val="bottom"/>
          </w:tcPr>
          <w:p>
            <w:pPr>
              <w:jc w:val="center"/>
              <w:ind w:left="243"/>
              <w:spacing w:after="0" w:line="115" w:lineRule="exact"/>
              <w:rPr>
                <w:sz w:val="20"/>
                <w:szCs w:val="20"/>
                <w:color w:val="auto"/>
              </w:rPr>
            </w:pPr>
            <w:r>
              <w:rPr>
                <w:rFonts w:ascii="Times New Roman" w:cs="Times New Roman" w:eastAsia="Times New Roman" w:hAnsi="Times New Roman"/>
                <w:sz w:val="11"/>
                <w:szCs w:val="11"/>
                <w:b w:val="1"/>
                <w:bCs w:val="1"/>
                <w:color w:val="auto"/>
              </w:rPr>
              <w:t>Reclassified from AOCL into</w:t>
            </w:r>
          </w:p>
        </w:tc>
        <w:tc>
          <w:tcPr>
            <w:tcW w:w="0" w:type="dxa"/>
            <w:vAlign w:val="bottom"/>
          </w:tcPr>
          <w:p>
            <w:pPr>
              <w:spacing w:after="0"/>
              <w:rPr>
                <w:sz w:val="1"/>
                <w:szCs w:val="1"/>
                <w:color w:val="auto"/>
              </w:rPr>
            </w:pPr>
          </w:p>
        </w:tc>
      </w:tr>
      <w:tr>
        <w:trPr>
          <w:trHeight w:val="151"/>
        </w:trPr>
        <w:tc>
          <w:tcPr>
            <w:tcW w:w="1940" w:type="dxa"/>
            <w:vAlign w:val="bottom"/>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rPr>
              <w:t>Recognized in AOCL on Derivative</w:t>
            </w:r>
          </w:p>
        </w:tc>
        <w:tc>
          <w:tcPr>
            <w:tcW w:w="3640" w:type="dxa"/>
            <w:vAlign w:val="bottom"/>
            <w:vMerge w:val="continue"/>
          </w:tcPr>
          <w:p>
            <w:pPr>
              <w:spacing w:after="0"/>
              <w:rPr>
                <w:sz w:val="13"/>
                <w:szCs w:val="13"/>
                <w:color w:val="auto"/>
              </w:rPr>
            </w:pPr>
          </w:p>
        </w:tc>
        <w:tc>
          <w:tcPr>
            <w:tcW w:w="1700" w:type="dxa"/>
            <w:vAlign w:val="bottom"/>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34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tbl>
      <w:tblPr>
        <w:tblLayout w:type="fixed"/>
        <w:tblInd w:w="20" w:type="dxa"/>
        <w:tblCellMar>
          <w:top w:w="0" w:type="dxa"/>
          <w:left w:w="0" w:type="dxa"/>
          <w:bottom w:w="0" w:type="dxa"/>
          <w:right w:w="0" w:type="dxa"/>
        </w:tblCellMar>
      </w:tblPr>
      <w:tr>
        <w:trPr>
          <w:trHeight w:val="179"/>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70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revenues</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0" w:type="dxa"/>
            <w:vAlign w:val="bottom"/>
          </w:tcPr>
          <w:p>
            <w:pPr>
              <w:spacing w:after="0" w:line="20" w:lineRule="exact"/>
              <w:rPr>
                <w:sz w:val="1"/>
                <w:szCs w:val="1"/>
                <w:color w:val="auto"/>
              </w:rPr>
            </w:pPr>
          </w:p>
        </w:tc>
      </w:tr>
      <w:tr>
        <w:trPr>
          <w:trHeight w:val="138"/>
        </w:trPr>
        <w:tc>
          <w:tcPr>
            <w:tcW w:w="3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Selling, general and administrative</w:t>
            </w:r>
          </w:p>
        </w:tc>
        <w:tc>
          <w:tcPr>
            <w:tcW w:w="0" w:type="dxa"/>
            <w:vAlign w:val="bottom"/>
          </w:tcPr>
          <w:p>
            <w:pPr>
              <w:spacing w:after="0"/>
              <w:rPr>
                <w:sz w:val="1"/>
                <w:szCs w:val="1"/>
                <w:color w:val="auto"/>
              </w:rPr>
            </w:pPr>
          </w:p>
        </w:tc>
      </w:tr>
      <w:tr>
        <w:trPr>
          <w:trHeight w:val="435"/>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7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2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revenues</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0" w:type="dxa"/>
            <w:vAlign w:val="bottom"/>
          </w:tcPr>
          <w:p>
            <w:pPr>
              <w:spacing w:after="0" w:line="20" w:lineRule="exact"/>
              <w:rPr>
                <w:sz w:val="1"/>
                <w:szCs w:val="1"/>
                <w:color w:val="auto"/>
              </w:rPr>
            </w:pPr>
          </w:p>
        </w:tc>
      </w:tr>
      <w:tr>
        <w:trPr>
          <w:trHeight w:val="138"/>
        </w:trPr>
        <w:tc>
          <w:tcPr>
            <w:tcW w:w="3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Selling, general and administrative</w:t>
            </w:r>
          </w:p>
        </w:tc>
        <w:tc>
          <w:tcPr>
            <w:tcW w:w="0" w:type="dxa"/>
            <w:vAlign w:val="bottom"/>
          </w:tcPr>
          <w:p>
            <w:pPr>
              <w:spacing w:after="0"/>
              <w:rPr>
                <w:sz w:val="1"/>
                <w:szCs w:val="1"/>
                <w:color w:val="auto"/>
              </w:rPr>
            </w:pPr>
          </w:p>
        </w:tc>
      </w:tr>
      <w:tr>
        <w:trPr>
          <w:trHeight w:val="467"/>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7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2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revenues</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0" w:type="dxa"/>
            <w:vAlign w:val="bottom"/>
          </w:tcPr>
          <w:p>
            <w:pPr>
              <w:spacing w:after="0" w:line="20" w:lineRule="exact"/>
              <w:rPr>
                <w:sz w:val="1"/>
                <w:szCs w:val="1"/>
                <w:color w:val="auto"/>
              </w:rPr>
            </w:pPr>
          </w:p>
        </w:tc>
      </w:tr>
      <w:tr>
        <w:trPr>
          <w:trHeight w:val="138"/>
        </w:trPr>
        <w:tc>
          <w:tcPr>
            <w:tcW w:w="3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Selling, general and administrative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-1171575</wp:posOffset>
            </wp:positionV>
            <wp:extent cx="7161530" cy="1143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-895350</wp:posOffset>
            </wp:positionV>
            <wp:extent cx="7161530" cy="1282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-652780</wp:posOffset>
            </wp:positionV>
            <wp:extent cx="7161530" cy="1143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-356235</wp:posOffset>
            </wp:positionV>
            <wp:extent cx="7161530" cy="1282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5">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-113665</wp:posOffset>
            </wp:positionV>
            <wp:extent cx="7161530" cy="1143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80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180"/>
        </w:trPr>
        <w:tc>
          <w:tcPr>
            <w:tcW w:w="8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4"/>
        </w:trPr>
        <w:tc>
          <w:tcPr>
            <w:tcW w:w="8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71"/>
        </w:trPr>
        <w:tc>
          <w:tcPr>
            <w:tcW w:w="8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left="1320" w:hanging="1304"/>
        <w:spacing w:after="0"/>
        <w:tabs>
          <w:tab w:leader="none" w:pos="1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(1,816)</w:t>
      </w:r>
    </w:p>
    <w:p>
      <w:pPr>
        <w:spacing w:after="0" w:line="23" w:lineRule="exact"/>
        <w:rPr>
          <w:rFonts w:ascii="Times New Roman" w:cs="Times New Roman" w:eastAsia="Times New Roman" w:hAnsi="Times New Roman"/>
          <w:sz w:val="14"/>
          <w:szCs w:val="14"/>
          <w:color w:val="auto"/>
        </w:rPr>
      </w:pPr>
    </w:p>
    <w:p>
      <w:pPr>
        <w:ind w:left="1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(376)</w:t>
      </w:r>
    </w:p>
    <w:p>
      <w:pPr>
        <w:spacing w:after="0" w:line="19" w:lineRule="exact"/>
        <w:rPr>
          <w:rFonts w:ascii="Times New Roman" w:cs="Times New Roman" w:eastAsia="Times New Roman" w:hAnsi="Times New Roman"/>
          <w:sz w:val="14"/>
          <w:szCs w:val="14"/>
          <w:color w:val="auto"/>
        </w:rPr>
      </w:pPr>
    </w:p>
    <w:p>
      <w:pPr>
        <w:ind w:left="1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111823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7">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6" w:lineRule="exact"/>
        <w:rPr>
          <w:sz w:val="20"/>
          <w:szCs w:val="20"/>
          <w:color w:val="auto"/>
        </w:rPr>
      </w:pPr>
    </w:p>
    <w:p>
      <w:pPr>
        <w:ind w:left="1320" w:hanging="1304"/>
        <w:spacing w:after="0"/>
        <w:tabs>
          <w:tab w:leader="none" w:pos="1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11823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8">
                      <a:extLst>
                        <a:ext uri="{28A0092B-C50C-407E-A947-70E740481C1C}"/>
                      </a:extLst>
                    </a:blip>
                    <a:srcRect/>
                    <a:stretch>
                      <a:fillRect/>
                    </a:stretch>
                  </pic:blipFill>
                  <pic:spPr bwMode="auto">
                    <a:xfrm>
                      <a:off x="0" y="0"/>
                      <a:ext cx="1118235"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34925</wp:posOffset>
            </wp:positionV>
            <wp:extent cx="111823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180"/>
        </w:trPr>
        <w:tc>
          <w:tcPr>
            <w:tcW w:w="8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4"/>
        </w:trPr>
        <w:tc>
          <w:tcPr>
            <w:tcW w:w="8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71"/>
        </w:trPr>
        <w:tc>
          <w:tcPr>
            <w:tcW w:w="8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800" w:space="720"/>
            <w:col w:w="1760"/>
          </w:cols>
          <w:pgMar w:left="300" w:top="123" w:right="31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Swaps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During fiscal 2020 we entered into an interest rate swap agreement with Union Bank to hedge the interest payments on the Building Term Loan for the notional amount of $18.0 million. As future levels of LIBOR over the life of the loan are uncertain, we entered into this interest-rate swap agreement to hedge the exposure in interest rate risks associated with movement in LIBOR rates. By entering into the agreement, we convert a floating rate interest at one-month LIBOR plus 1.75% into a fixed rate interest at 2.75%. This agreement was amended in fiscal 2023 to replace the benchmark reference rate LIBOR with SOFR to match the Building Term Loan agreement (as amended). After the amendment, the interest rate swap continues to convert our floating-rate interest into a fixed-rate at 2.75%. As of December 30, 2023, the notional amount of the loan that is subject to this interest rate swap was $14.4 million. See Note 6,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additional information.</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accounting purposes, the interest-rate swap contracts qualify for and are designated as cash flow hedges. All hedging relationships are formally documented, and the hedges are designed to offset changes to future cash flows on hedged transactions. We evaluate hedge effectiveness at hedge inception and on an ongoing basis.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fair value of our interest rate swap contracts are determined at the end of each reporting period based on valuation models that use interest rate yield curves as inputs. The cash flows associated with the interest rate swaps are reported in Net cash provided by operating activities in our Consolidated Statements of Cash Flows and the fair value of the interest rate swap contracts are recorded within Prepaid expenses and other current assets and Other assets.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impact of the interest rate swaps on the Consolidated Statements of Income was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 of Gain Recognized in AOCL on</w:t>
            </w:r>
          </w:p>
        </w:tc>
        <w:tc>
          <w:tcPr>
            <w:tcW w:w="25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Location of Gain Reclassified from AOCL into</w:t>
            </w:r>
          </w:p>
        </w:tc>
        <w:tc>
          <w:tcPr>
            <w:tcW w:w="120" w:type="dxa"/>
            <w:vAlign w:val="bottom"/>
          </w:tcPr>
          <w:p>
            <w:pPr>
              <w:spacing w:after="0"/>
              <w:rPr>
                <w:sz w:val="10"/>
                <w:szCs w:val="10"/>
                <w:color w:val="auto"/>
              </w:rPr>
            </w:pPr>
          </w:p>
        </w:tc>
        <w:tc>
          <w:tcPr>
            <w:tcW w:w="2300" w:type="dxa"/>
            <w:vAlign w:val="bottom"/>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rPr>
              <w:t>Amount of Gain or (Loss) Reclassified from</w:t>
            </w:r>
          </w:p>
        </w:tc>
      </w:tr>
      <w:tr>
        <w:trPr>
          <w:trHeight w:val="154"/>
        </w:trPr>
        <w:tc>
          <w:tcPr>
            <w:tcW w:w="38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1"/>
                <w:szCs w:val="11"/>
                <w:b w:val="1"/>
                <w:bCs w:val="1"/>
                <w:color w:val="auto"/>
              </w:rPr>
              <w:t>Derivative (Effective Portion)</w:t>
            </w:r>
          </w:p>
        </w:tc>
        <w:tc>
          <w:tcPr>
            <w:tcW w:w="120" w:type="dxa"/>
            <w:vAlign w:val="bottom"/>
            <w:tcBorders>
              <w:bottom w:val="single" w:sz="8" w:color="CCEEFF"/>
            </w:tcBorders>
          </w:tcPr>
          <w:p>
            <w:pPr>
              <w:spacing w:after="0"/>
              <w:rPr>
                <w:sz w:val="13"/>
                <w:szCs w:val="13"/>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Income (Effective Portion)</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rPr>
              <w:t>AOCL into Income (Effective Portion)</w:t>
            </w:r>
          </w:p>
        </w:tc>
      </w:tr>
      <w:tr>
        <w:trPr>
          <w:trHeight w:val="17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Other income (expense),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300" w:type="dxa"/>
            <w:vAlign w:val="bottom"/>
            <w:shd w:val="clear" w:color="auto" w:fill="CCEEFF"/>
          </w:tcPr>
          <w:p>
            <w:pPr>
              <w:jc w:val="center"/>
              <w:ind w:left="1915"/>
              <w:spacing w:after="0"/>
              <w:rPr>
                <w:sz w:val="20"/>
                <w:szCs w:val="20"/>
                <w:color w:val="auto"/>
              </w:rPr>
            </w:pPr>
            <w:r>
              <w:rPr>
                <w:rFonts w:ascii="Times New Roman" w:cs="Times New Roman" w:eastAsia="Times New Roman" w:hAnsi="Times New Roman"/>
                <w:sz w:val="14"/>
                <w:szCs w:val="14"/>
                <w:color w:val="auto"/>
                <w:w w:val="95"/>
              </w:rPr>
              <w:t>615</w:t>
            </w: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60" w:type="dxa"/>
            <w:vAlign w:val="bottom"/>
          </w:tcPr>
          <w:p>
            <w:pPr>
              <w:spacing w:after="0"/>
              <w:rPr>
                <w:sz w:val="15"/>
                <w:szCs w:val="15"/>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20" w:type="dxa"/>
            <w:vAlign w:val="bottom"/>
          </w:tcPr>
          <w:p>
            <w:pPr>
              <w:spacing w:after="0"/>
              <w:rPr>
                <w:sz w:val="15"/>
                <w:szCs w:val="15"/>
                <w:color w:val="auto"/>
              </w:rPr>
            </w:pPr>
          </w:p>
        </w:tc>
        <w:tc>
          <w:tcPr>
            <w:tcW w:w="2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Other income (expense), net</w:t>
            </w:r>
          </w:p>
        </w:tc>
        <w:tc>
          <w:tcPr>
            <w:tcW w:w="120" w:type="dxa"/>
            <w:vAlign w:val="bottom"/>
          </w:tcPr>
          <w:p>
            <w:pPr>
              <w:spacing w:after="0"/>
              <w:rPr>
                <w:sz w:val="15"/>
                <w:szCs w:val="15"/>
                <w:color w:val="auto"/>
              </w:rPr>
            </w:pPr>
          </w:p>
        </w:tc>
        <w:tc>
          <w:tcPr>
            <w:tcW w:w="2300" w:type="dxa"/>
            <w:vAlign w:val="bottom"/>
          </w:tcPr>
          <w:p>
            <w:pPr>
              <w:jc w:val="center"/>
              <w:ind w:left="1915"/>
              <w:spacing w:after="0"/>
              <w:rPr>
                <w:sz w:val="20"/>
                <w:szCs w:val="20"/>
                <w:color w:val="auto"/>
              </w:rPr>
            </w:pPr>
            <w:r>
              <w:rPr>
                <w:rFonts w:ascii="Times New Roman" w:cs="Times New Roman" w:eastAsia="Times New Roman" w:hAnsi="Times New Roman"/>
                <w:sz w:val="14"/>
                <w:szCs w:val="14"/>
                <w:color w:val="auto"/>
                <w:w w:val="95"/>
              </w:rPr>
              <w:t>106</w:t>
            </w:r>
          </w:p>
        </w:tc>
      </w:tr>
      <w:tr>
        <w:trPr>
          <w:trHeight w:val="18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60" w:type="dxa"/>
            <w:vAlign w:val="bottom"/>
            <w:shd w:val="clear" w:color="auto" w:fill="CCEEFF"/>
          </w:tcPr>
          <w:p>
            <w:pPr>
              <w:spacing w:after="0"/>
              <w:rPr>
                <w:sz w:val="15"/>
                <w:szCs w:val="15"/>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2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Other income (expense), net</w:t>
            </w:r>
          </w:p>
        </w:tc>
        <w:tc>
          <w:tcPr>
            <w:tcW w:w="120" w:type="dxa"/>
            <w:vAlign w:val="bottom"/>
            <w:shd w:val="clear" w:color="auto" w:fill="CCEEFF"/>
          </w:tcPr>
          <w:p>
            <w:pPr>
              <w:spacing w:after="0"/>
              <w:rPr>
                <w:sz w:val="15"/>
                <w:szCs w:val="15"/>
                <w:color w:val="auto"/>
              </w:rPr>
            </w:pPr>
          </w:p>
        </w:tc>
        <w:tc>
          <w:tcPr>
            <w:tcW w:w="2300" w:type="dxa"/>
            <w:vAlign w:val="bottom"/>
            <w:shd w:val="clear" w:color="auto" w:fill="CCEEFF"/>
          </w:tcPr>
          <w:p>
            <w:pPr>
              <w:jc w:val="center"/>
              <w:ind w:left="1895"/>
              <w:spacing w:after="0"/>
              <w:rPr>
                <w:sz w:val="20"/>
                <w:szCs w:val="20"/>
                <w:color w:val="auto"/>
              </w:rPr>
            </w:pPr>
            <w:r>
              <w:rPr>
                <w:rFonts w:ascii="Times New Roman" w:cs="Times New Roman" w:eastAsia="Times New Roman" w:hAnsi="Times New Roman"/>
                <w:sz w:val="14"/>
                <w:szCs w:val="14"/>
                <w:color w:val="auto"/>
                <w:w w:val="98"/>
              </w:rPr>
              <w:t>(154)</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also Note 10, </w:t>
      </w:r>
      <w:r>
        <w:rPr>
          <w:rFonts w:ascii="Times New Roman" w:cs="Times New Roman" w:eastAsia="Times New Roman" w:hAnsi="Times New Roman"/>
          <w:sz w:val="14"/>
          <w:szCs w:val="14"/>
          <w:i w:val="1"/>
          <w:iCs w:val="1"/>
          <w:color w:val="auto"/>
        </w:rPr>
        <w:t>Fair Value</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10—Fair Value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Whenever possible, the fair values of our financial assets and liabilities are determined using quoted market prices of identical securities or quoted market prices of similar securities from active markets. The three levels of inputs that may be used to measure fair value are as follows: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valuations are obtained from real-time quotes for transactions in active exchange markets involving identical securities;</w:t>
      </w:r>
    </w:p>
    <w:p>
      <w:pPr>
        <w:spacing w:after="0" w:line="23" w:lineRule="exact"/>
        <w:rPr>
          <w:rFonts w:ascii="Times New Roman" w:cs="Times New Roman" w:eastAsia="Times New Roman" w:hAnsi="Times New Roman"/>
          <w:sz w:val="14"/>
          <w:szCs w:val="14"/>
          <w:color w:val="auto"/>
        </w:rPr>
      </w:pPr>
    </w:p>
    <w:p>
      <w:pPr>
        <w:ind w:left="520" w:right="340" w:hanging="260"/>
        <w:spacing w:after="0" w:line="253"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valuations utilize significant observable inputs, such as quoted prices for similar assets or liabilities, quoted prices near the reporting date in markets that are less active, or other inputs that are observable or can be corroborated by observable market data for substantially the full term of the assets or liabilities; and</w:t>
      </w:r>
    </w:p>
    <w:p>
      <w:pPr>
        <w:ind w:left="520" w:right="100" w:hanging="260"/>
        <w:spacing w:after="0" w:line="266"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valuations utilize unobservable inputs to the valuation methodology and include our own data about assumptions market participants would use in pricing the asset or liability based on the best information available under the circumstances.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did not have any transfers of assets or liabilities measured at fair value on a recurring basis to or from Level 1, Level 2 or Level 3 during fiscal 2023, 2022 or 2021.</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carrying values of Cash, Accounts receivable, net, Restricted cash, Prepaid expenses and other current assets, Accounts payable, and Accrued liabilities approximate fair value due to their short maturities.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changes were made to our valuation techniques during fiscal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Equivalents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our cash equivalents is determined based on quoted market prices for similar or identical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classify our marketable securities as available-for-sale and value them utilizing a market approach. Our investments are priced by pricing vendors who provide observable inputs for their pricing without applying significant judgment. Broker pricing is used mainly when a quoted price is not available, the investment is not priced by our pricing vendors or when a broker price is more reflective of fair value. Our broker-priced investments are categorized as Level 2 investments because fair value is based on similar assets without applying significant judgments. In addition, all of our investments have a sufficient level of trading volume to demonstrate that the fair value is appropriate.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Assets and liabilities Measured at Fair Value on a Recurring Basis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Assets and liabilities measured at fair value on a recurring basis were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8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6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00" w:type="dxa"/>
            <w:vAlign w:val="bottom"/>
          </w:tcPr>
          <w:p>
            <w:pPr>
              <w:spacing w:after="0"/>
              <w:rPr>
                <w:sz w:val="14"/>
                <w:szCs w:val="14"/>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3"/>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equivalents:</w:t>
            </w:r>
          </w:p>
        </w:tc>
        <w:tc>
          <w:tcPr>
            <w:tcW w:w="1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Money market funds</w:t>
            </w:r>
          </w:p>
        </w:tc>
        <w:tc>
          <w:tcPr>
            <w:tcW w:w="208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110,980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110,980</w:t>
            </w:r>
          </w:p>
        </w:tc>
        <w:tc>
          <w:tcPr>
            <w:tcW w:w="0" w:type="dxa"/>
            <w:vAlign w:val="bottom"/>
          </w:tcPr>
          <w:p>
            <w:pPr>
              <w:spacing w:after="0"/>
              <w:rPr>
                <w:sz w:val="1"/>
                <w:szCs w:val="1"/>
                <w:color w:val="auto"/>
              </w:rPr>
            </w:pPr>
          </w:p>
        </w:tc>
      </w:tr>
      <w:tr>
        <w:trPr>
          <w:trHeight w:val="180"/>
        </w:trPr>
        <w:tc>
          <w:tcPr>
            <w:tcW w:w="3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treasuries</w:t>
            </w:r>
          </w:p>
        </w:tc>
        <w:tc>
          <w:tcPr>
            <w:tcW w:w="1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4,581</w:t>
            </w:r>
          </w:p>
        </w:tc>
        <w:tc>
          <w:tcPr>
            <w:tcW w:w="0" w:type="dxa"/>
            <w:vAlign w:val="bottom"/>
          </w:tcPr>
          <w:p>
            <w:pPr>
              <w:spacing w:after="0"/>
              <w:rPr>
                <w:sz w:val="1"/>
                <w:szCs w:val="1"/>
                <w:color w:val="auto"/>
              </w:rPr>
            </w:pPr>
          </w:p>
        </w:tc>
      </w:tr>
      <w:tr>
        <w:trPr>
          <w:trHeight w:val="171"/>
        </w:trPr>
        <w:tc>
          <w:tcPr>
            <w:tcW w:w="392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115,561</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115,561</w:t>
            </w:r>
          </w:p>
        </w:tc>
        <w:tc>
          <w:tcPr>
            <w:tcW w:w="0" w:type="dxa"/>
            <w:vAlign w:val="bottom"/>
          </w:tcPr>
          <w:p>
            <w:pPr>
              <w:spacing w:after="0"/>
              <w:rPr>
                <w:sz w:val="1"/>
                <w:szCs w:val="1"/>
                <w:color w:val="auto"/>
              </w:rPr>
            </w:pPr>
          </w:p>
        </w:tc>
      </w:tr>
      <w:tr>
        <w:trPr>
          <w:trHeight w:val="180"/>
        </w:trPr>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Marketable securities:</w:t>
            </w:r>
          </w:p>
        </w:tc>
        <w:tc>
          <w:tcPr>
            <w:tcW w:w="1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treasuries</w:t>
            </w:r>
          </w:p>
        </w:tc>
        <w:tc>
          <w:tcPr>
            <w:tcW w:w="1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45,837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45,837</w:t>
            </w:r>
          </w:p>
        </w:tc>
        <w:tc>
          <w:tcPr>
            <w:tcW w:w="0" w:type="dxa"/>
            <w:vAlign w:val="bottom"/>
          </w:tcPr>
          <w:p>
            <w:pPr>
              <w:spacing w:after="0"/>
              <w:rPr>
                <w:sz w:val="1"/>
                <w:szCs w:val="1"/>
                <w:color w:val="auto"/>
              </w:rPr>
            </w:pPr>
          </w:p>
        </w:tc>
      </w:tr>
      <w:tr>
        <w:trPr>
          <w:trHeight w:val="180"/>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agency securities</w:t>
            </w:r>
          </w:p>
        </w:tc>
        <w:tc>
          <w:tcPr>
            <w:tcW w:w="1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10,003</w:t>
            </w: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Corporate bonds</w:t>
            </w:r>
          </w:p>
        </w:tc>
        <w:tc>
          <w:tcPr>
            <w:tcW w:w="1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81,350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81,350</w:t>
            </w:r>
          </w:p>
        </w:tc>
        <w:tc>
          <w:tcPr>
            <w:tcW w:w="0" w:type="dxa"/>
            <w:vAlign w:val="bottom"/>
          </w:tcPr>
          <w:p>
            <w:pPr>
              <w:spacing w:after="0"/>
              <w:rPr>
                <w:sz w:val="1"/>
                <w:szCs w:val="1"/>
                <w:color w:val="auto"/>
              </w:rPr>
            </w:pPr>
          </w:p>
        </w:tc>
      </w:tr>
      <w:tr>
        <w:trPr>
          <w:trHeight w:val="180"/>
        </w:trPr>
        <w:tc>
          <w:tcPr>
            <w:tcW w:w="39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 paper</w:t>
            </w:r>
          </w:p>
        </w:tc>
        <w:tc>
          <w:tcPr>
            <w:tcW w:w="1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13,317</w:t>
            </w:r>
          </w:p>
        </w:tc>
        <w:tc>
          <w:tcPr>
            <w:tcW w:w="0" w:type="dxa"/>
            <w:vAlign w:val="bottom"/>
          </w:tcPr>
          <w:p>
            <w:pPr>
              <w:spacing w:after="0"/>
              <w:rPr>
                <w:sz w:val="1"/>
                <w:szCs w:val="1"/>
                <w:color w:val="auto"/>
              </w:rPr>
            </w:pPr>
          </w:p>
        </w:tc>
      </w:tr>
      <w:tr>
        <w:trPr>
          <w:trHeight w:val="171"/>
        </w:trPr>
        <w:tc>
          <w:tcPr>
            <w:tcW w:w="392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45,837</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104,670</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150,507</w:t>
            </w:r>
          </w:p>
        </w:tc>
        <w:tc>
          <w:tcPr>
            <w:tcW w:w="0" w:type="dxa"/>
            <w:vAlign w:val="bottom"/>
          </w:tcPr>
          <w:p>
            <w:pPr>
              <w:spacing w:after="0"/>
              <w:rPr>
                <w:sz w:val="1"/>
                <w:szCs w:val="1"/>
                <w:color w:val="auto"/>
              </w:rPr>
            </w:pPr>
          </w:p>
        </w:tc>
      </w:tr>
      <w:tr>
        <w:trPr>
          <w:trHeight w:val="180"/>
        </w:trPr>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exchange derivative contracts</w:t>
            </w:r>
          </w:p>
        </w:tc>
        <w:tc>
          <w:tcPr>
            <w:tcW w:w="1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swap derivative contracts</w:t>
            </w:r>
          </w:p>
        </w:tc>
        <w:tc>
          <w:tcPr>
            <w:tcW w:w="1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0" w:type="dxa"/>
            <w:vAlign w:val="bottom"/>
          </w:tcPr>
          <w:p>
            <w:pPr>
              <w:spacing w:after="0"/>
              <w:rPr>
                <w:sz w:val="1"/>
                <w:szCs w:val="1"/>
                <w:color w:val="auto"/>
              </w:rPr>
            </w:pPr>
          </w:p>
        </w:tc>
      </w:tr>
      <w:tr>
        <w:trPr>
          <w:trHeight w:val="17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8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161,398</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106,943</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268,341</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Liabilities:</w:t>
            </w:r>
          </w:p>
        </w:tc>
        <w:tc>
          <w:tcPr>
            <w:tcW w:w="1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exchange derivative contracts</w:t>
            </w:r>
          </w:p>
        </w:tc>
        <w:tc>
          <w:tcPr>
            <w:tcW w:w="208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8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39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2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8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6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8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00" w:type="dxa"/>
            <w:vAlign w:val="bottom"/>
          </w:tcPr>
          <w:p>
            <w:pPr>
              <w:spacing w:after="0"/>
              <w:rPr>
                <w:sz w:val="14"/>
                <w:szCs w:val="14"/>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equivalents: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Money market funds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21,279</w:t>
            </w:r>
          </w:p>
        </w:tc>
        <w:tc>
          <w:tcPr>
            <w:tcW w:w="0" w:type="dxa"/>
            <w:vAlign w:val="bottom"/>
          </w:tcPr>
          <w:p>
            <w:pPr>
              <w:spacing w:after="0"/>
              <w:rPr>
                <w:sz w:val="1"/>
                <w:szCs w:val="1"/>
                <w:color w:val="auto"/>
              </w:rPr>
            </w:pPr>
          </w:p>
        </w:tc>
      </w:tr>
      <w:tr>
        <w:trPr>
          <w:trHeight w:val="180"/>
        </w:trPr>
        <w:tc>
          <w:tcPr>
            <w:tcW w:w="5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paper</w:t>
            </w:r>
          </w:p>
        </w:tc>
        <w:tc>
          <w:tcPr>
            <w:tcW w:w="2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4,969</w:t>
            </w: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agency securities</w:t>
            </w: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21,279</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5,965</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27,244</w:t>
            </w: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Marketable securities: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treasuries</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25,019</w:t>
            </w: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Certificates of deposit</w:t>
            </w: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0" w:type="dxa"/>
            <w:vAlign w:val="bottom"/>
          </w:tcPr>
          <w:p>
            <w:pPr>
              <w:spacing w:after="0"/>
              <w:rPr>
                <w:sz w:val="1"/>
                <w:szCs w:val="1"/>
                <w:color w:val="auto"/>
              </w:rPr>
            </w:pPr>
          </w:p>
        </w:tc>
      </w:tr>
      <w:tr>
        <w:trPr>
          <w:trHeight w:val="180"/>
        </w:trPr>
        <w:tc>
          <w:tcPr>
            <w:tcW w:w="5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agency securities</w:t>
            </w:r>
          </w:p>
        </w:tc>
        <w:tc>
          <w:tcPr>
            <w:tcW w:w="2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11,045</w:t>
            </w: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Corporate bonds</w:t>
            </w: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67,396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67,396</w:t>
            </w:r>
          </w:p>
        </w:tc>
        <w:tc>
          <w:tcPr>
            <w:tcW w:w="0" w:type="dxa"/>
            <w:vAlign w:val="bottom"/>
          </w:tcPr>
          <w:p>
            <w:pPr>
              <w:spacing w:after="0"/>
              <w:rPr>
                <w:sz w:val="1"/>
                <w:szCs w:val="1"/>
                <w:color w:val="auto"/>
              </w:rPr>
            </w:pPr>
          </w:p>
        </w:tc>
      </w:tr>
      <w:tr>
        <w:trPr>
          <w:trHeight w:val="180"/>
        </w:trPr>
        <w:tc>
          <w:tcPr>
            <w:tcW w:w="5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 paper</w:t>
            </w:r>
          </w:p>
        </w:tc>
        <w:tc>
          <w:tcPr>
            <w:tcW w:w="2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24,840</w:t>
            </w:r>
          </w:p>
        </w:tc>
        <w:tc>
          <w:tcPr>
            <w:tcW w:w="0" w:type="dxa"/>
            <w:vAlign w:val="bottom"/>
          </w:tcPr>
          <w:p>
            <w:pPr>
              <w:spacing w:after="0"/>
              <w:rPr>
                <w:sz w:val="1"/>
                <w:szCs w:val="1"/>
                <w:color w:val="auto"/>
              </w:rPr>
            </w:pPr>
          </w:p>
        </w:tc>
      </w:tr>
      <w:tr>
        <w:trPr>
          <w:trHeight w:val="171"/>
        </w:trPr>
        <w:tc>
          <w:tcPr>
            <w:tcW w:w="57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25,019</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103,987</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129,006</w:t>
            </w:r>
          </w:p>
        </w:tc>
        <w:tc>
          <w:tcPr>
            <w:tcW w:w="0" w:type="dxa"/>
            <w:vAlign w:val="bottom"/>
          </w:tcPr>
          <w:p>
            <w:pPr>
              <w:spacing w:after="0"/>
              <w:rPr>
                <w:sz w:val="1"/>
                <w:szCs w:val="1"/>
                <w:color w:val="auto"/>
              </w:rPr>
            </w:pPr>
          </w:p>
        </w:tc>
      </w:tr>
      <w:tr>
        <w:trPr>
          <w:trHeight w:val="180"/>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exchange derivative contracts</w:t>
            </w:r>
          </w:p>
        </w:tc>
        <w:tc>
          <w:tcPr>
            <w:tcW w:w="2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Promissory note receivable</w:t>
            </w: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0" w:type="dxa"/>
            <w:vAlign w:val="bottom"/>
          </w:tcPr>
          <w:p>
            <w:pPr>
              <w:spacing w:after="0"/>
              <w:rPr>
                <w:sz w:val="1"/>
                <w:szCs w:val="1"/>
                <w:color w:val="auto"/>
              </w:rPr>
            </w:pPr>
          </w:p>
        </w:tc>
      </w:tr>
      <w:tr>
        <w:trPr>
          <w:trHeight w:val="180"/>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swap derivative contracts</w:t>
            </w:r>
          </w:p>
        </w:tc>
        <w:tc>
          <w:tcPr>
            <w:tcW w:w="2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112,990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160,231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exchange derivative contracts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71"/>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Assets and Liabilities Measured at Fair Value on a Non-Recurring Basis</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We measure and report our non-financial assets such as Property, plant and equipment, Goodwill and Intangible assets at fair value on a non-recurring basis if we determine these assets to be impaired or in the period when we make a business acquisition. Other than as discussed in Note 4,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xml:space="preserve"> and Note 8, </w:t>
      </w:r>
      <w:r>
        <w:rPr>
          <w:rFonts w:ascii="Times New Roman" w:cs="Times New Roman" w:eastAsia="Times New Roman" w:hAnsi="Times New Roman"/>
          <w:sz w:val="14"/>
          <w:szCs w:val="14"/>
          <w:i w:val="1"/>
          <w:iCs w:val="1"/>
          <w:color w:val="auto"/>
        </w:rPr>
        <w:t>Restructuring Charges,</w:t>
      </w:r>
      <w:r>
        <w:rPr>
          <w:rFonts w:ascii="Times New Roman" w:cs="Times New Roman" w:eastAsia="Times New Roman" w:hAnsi="Times New Roman"/>
          <w:sz w:val="14"/>
          <w:szCs w:val="14"/>
          <w:color w:val="auto"/>
        </w:rPr>
        <w:t xml:space="preserve"> there were no assets or liabilities measured at fair value on a non-recurring basis during fiscal 2023, 2022 or 2021.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11—Goodwill and Intangible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Goodwill by reportable segment was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Probe Cards</w:t>
            </w:r>
          </w:p>
        </w:tc>
        <w:tc>
          <w:tcPr>
            <w:tcW w:w="24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300" w:type="dxa"/>
            <w:vAlign w:val="bottom"/>
          </w:tcPr>
          <w:p>
            <w:pPr>
              <w:spacing w:after="0"/>
              <w:rPr>
                <w:sz w:val="14"/>
                <w:szCs w:val="14"/>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Goodwill, as of December 25, 2021</w:t>
            </w:r>
          </w:p>
        </w:tc>
        <w:tc>
          <w:tcPr>
            <w:tcW w:w="35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178,424</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33,875</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212,299</w:t>
            </w:r>
          </w:p>
        </w:tc>
        <w:tc>
          <w:tcPr>
            <w:tcW w:w="0" w:type="dxa"/>
            <w:vAlign w:val="bottom"/>
          </w:tcPr>
          <w:p>
            <w:pPr>
              <w:spacing w:after="0"/>
              <w:rPr>
                <w:sz w:val="1"/>
                <w:szCs w:val="1"/>
                <w:color w:val="auto"/>
              </w:rPr>
            </w:pPr>
          </w:p>
        </w:tc>
      </w:tr>
      <w:tr>
        <w:trPr>
          <w:trHeight w:val="180"/>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 - Woburn acquisition</w:t>
            </w:r>
          </w:p>
        </w:tc>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3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0" w:type="dxa"/>
            <w:vAlign w:val="bottom"/>
          </w:tcPr>
          <w:p>
            <w:pPr>
              <w:spacing w:after="0"/>
              <w:rPr>
                <w:sz w:val="1"/>
                <w:szCs w:val="1"/>
                <w:color w:val="auto"/>
              </w:rPr>
            </w:pPr>
          </w:p>
        </w:tc>
      </w:tr>
      <w:tr>
        <w:trPr>
          <w:trHeight w:val="171"/>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Goodwill, as of December 31, 2022</w:t>
            </w:r>
          </w:p>
        </w:tc>
        <w:tc>
          <w:tcPr>
            <w:tcW w:w="35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178,424</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33,020</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211,444</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Reduction - FRT divestiture</w:t>
            </w:r>
          </w:p>
        </w:tc>
        <w:tc>
          <w:tcPr>
            <w:tcW w:w="3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(10,660)</w:t>
            </w:r>
          </w:p>
        </w:tc>
        <w:tc>
          <w:tcPr>
            <w:tcW w:w="0" w:type="dxa"/>
            <w:vAlign w:val="bottom"/>
          </w:tcPr>
          <w:p>
            <w:pPr>
              <w:spacing w:after="0"/>
              <w:rPr>
                <w:sz w:val="1"/>
                <w:szCs w:val="1"/>
                <w:color w:val="auto"/>
              </w:rPr>
            </w:pPr>
          </w:p>
        </w:tc>
      </w:tr>
      <w:tr>
        <w:trPr>
          <w:trHeight w:val="180"/>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Goodwill, as of December 30, 2023</w:t>
            </w:r>
          </w:p>
        </w:tc>
        <w:tc>
          <w:tcPr>
            <w:tcW w:w="35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178,424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201,090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bottom w:val="single" w:sz="8" w:color="CCEEFF"/>
            </w:tcBorders>
            <w:vMerge w:val="restart"/>
          </w:tcPr>
          <w:p>
            <w:pPr>
              <w:jc w:val="right"/>
              <w:ind w:right="1449"/>
              <w:spacing w:after="0"/>
              <w:rPr>
                <w:sz w:val="20"/>
                <w:szCs w:val="20"/>
                <w:color w:val="auto"/>
              </w:rPr>
            </w:pPr>
            <w:r>
              <w:rPr>
                <w:rFonts w:ascii="Times New Roman" w:cs="Times New Roman" w:eastAsia="Times New Roman" w:hAnsi="Times New Roman"/>
                <w:sz w:val="14"/>
                <w:szCs w:val="14"/>
                <w:color w:val="auto"/>
              </w:rPr>
              <w:t>71</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37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40" w:type="dxa"/>
            <w:vAlign w:val="bottom"/>
            <w:tcBorders>
              <w:bottom w:val="single" w:sz="8" w:color="9A9A9A"/>
            </w:tcBorders>
          </w:tcPr>
          <w:p>
            <w:pPr>
              <w:spacing w:after="0"/>
              <w:rPr>
                <w:sz w:val="7"/>
                <w:szCs w:val="7"/>
                <w:color w:val="auto"/>
              </w:rPr>
            </w:pPr>
          </w:p>
        </w:tc>
        <w:tc>
          <w:tcPr>
            <w:tcW w:w="35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Intangible assets were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December 30, 2023</w:t>
            </w: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5"/>
              </w:rPr>
              <w:t>December 31, 2022</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3620" w:type="dxa"/>
            <w:vAlign w:val="bottom"/>
            <w:vMerge w:val="restart"/>
          </w:tcPr>
          <w:p>
            <w:pPr>
              <w:ind w:left="1120"/>
              <w:spacing w:after="0"/>
              <w:rPr>
                <w:sz w:val="20"/>
                <w:szCs w:val="20"/>
                <w:color w:val="auto"/>
              </w:rPr>
            </w:pPr>
            <w:r>
              <w:rPr>
                <w:rFonts w:ascii="Times New Roman" w:cs="Times New Roman" w:eastAsia="Times New Roman" w:hAnsi="Times New Roman"/>
                <w:sz w:val="13"/>
                <w:szCs w:val="13"/>
                <w:b w:val="1"/>
                <w:bCs w:val="1"/>
                <w:color w:val="auto"/>
              </w:rPr>
              <w:t>Other Intangible Assets</w:t>
            </w:r>
          </w:p>
        </w:tc>
        <w:tc>
          <w:tcPr>
            <w:tcW w:w="260" w:type="dxa"/>
            <w:vAlign w:val="bottom"/>
          </w:tcPr>
          <w:p>
            <w:pPr>
              <w:spacing w:after="0"/>
              <w:rPr>
                <w:sz w:val="8"/>
                <w:szCs w:val="8"/>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00" w:type="dxa"/>
            <w:vAlign w:val="bottom"/>
          </w:tcPr>
          <w:p>
            <w:pPr>
              <w:spacing w:after="0"/>
              <w:rPr>
                <w:sz w:val="8"/>
                <w:szCs w:val="8"/>
                <w:color w:val="auto"/>
              </w:rPr>
            </w:pPr>
          </w:p>
        </w:tc>
        <w:tc>
          <w:tcPr>
            <w:tcW w:w="1200" w:type="dxa"/>
            <w:vAlign w:val="bottom"/>
            <w:gridSpan w:val="2"/>
          </w:tcPr>
          <w:p>
            <w:pPr>
              <w:jc w:val="center"/>
              <w:ind w:right="200"/>
              <w:spacing w:after="0" w:line="10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300" w:type="dxa"/>
            <w:vAlign w:val="bottom"/>
          </w:tcPr>
          <w:p>
            <w:pPr>
              <w:spacing w:after="0"/>
              <w:rPr>
                <w:sz w:val="8"/>
                <w:szCs w:val="8"/>
                <w:color w:val="auto"/>
              </w:rPr>
            </w:pPr>
          </w:p>
        </w:tc>
        <w:tc>
          <w:tcPr>
            <w:tcW w:w="10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Net</w:t>
            </w:r>
          </w:p>
        </w:tc>
        <w:tc>
          <w:tcPr>
            <w:tcW w:w="38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Gross</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jc w:val="right"/>
              <w:ind w:right="13"/>
              <w:spacing w:after="0" w:line="10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vMerge w:val="restart"/>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55"/>
        </w:trPr>
        <w:tc>
          <w:tcPr>
            <w:tcW w:w="36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30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Existing developed technologies</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159,593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148,445</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11,148</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171,441</w:t>
            </w: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151,212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20,229</w:t>
            </w: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7,972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7,759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48,022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50,912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5,909</w:t>
            </w: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In-process research and development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202,885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230,725</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2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Amortization expense was included in our Consolidated Statements of Income as follows (in thousands):</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w w:val="95"/>
              </w:rPr>
              <w:t>Fiscal Year Ended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20" w:type="dxa"/>
            <w:vAlign w:val="bottom"/>
            <w:gridSpan w:val="4"/>
          </w:tcPr>
          <w:p>
            <w:pPr>
              <w:jc w:val="right"/>
              <w:ind w:right="191"/>
              <w:spacing w:after="0" w:line="120"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tcPr>
          <w:p>
            <w:pPr>
              <w:jc w:val="center"/>
              <w:ind w:right="153"/>
              <w:spacing w:after="0" w:line="120"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right"/>
              <w:ind w:right="231"/>
              <w:spacing w:after="0" w:line="120" w:lineRule="exact"/>
              <w:rPr>
                <w:sz w:val="20"/>
                <w:szCs w:val="20"/>
                <w:color w:val="auto"/>
              </w:rPr>
            </w:pPr>
            <w:r>
              <w:rPr>
                <w:rFonts w:ascii="Times New Roman" w:cs="Times New Roman" w:eastAsia="Times New Roman" w:hAnsi="Times New Roman"/>
                <w:sz w:val="13"/>
                <w:szCs w:val="13"/>
                <w:b w:val="1"/>
                <w:bCs w:val="1"/>
                <w:color w:val="auto"/>
              </w:rPr>
              <w:t>December 25,</w:t>
            </w:r>
          </w:p>
        </w:tc>
        <w:tc>
          <w:tcPr>
            <w:tcW w:w="0" w:type="dxa"/>
            <w:vAlign w:val="bottom"/>
          </w:tcPr>
          <w:p>
            <w:pPr>
              <w:spacing w:after="0"/>
              <w:rPr>
                <w:sz w:val="1"/>
                <w:szCs w:val="1"/>
                <w:color w:val="auto"/>
              </w:rPr>
            </w:pPr>
          </w:p>
        </w:tc>
      </w:tr>
      <w:tr>
        <w:trPr>
          <w:trHeight w:val="169"/>
        </w:trPr>
        <w:tc>
          <w:tcPr>
            <w:tcW w:w="36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33"/>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72"/>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12,269</w:t>
            </w:r>
          </w:p>
        </w:tc>
        <w:tc>
          <w:tcPr>
            <w:tcW w:w="0" w:type="dxa"/>
            <w:vAlign w:val="bottom"/>
          </w:tcPr>
          <w:p>
            <w:pPr>
              <w:spacing w:after="0"/>
              <w:rPr>
                <w:sz w:val="1"/>
                <w:szCs w:val="1"/>
                <w:color w:val="auto"/>
              </w:rPr>
            </w:pPr>
          </w:p>
        </w:tc>
      </w:tr>
      <w:tr>
        <w:trPr>
          <w:trHeight w:val="180"/>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3,769</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6,166</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6,478</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6,850</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9,391</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gridSpan w:val="9"/>
          </w:tcPr>
          <w:p>
            <w:pPr>
              <w:spacing w:after="0" w:line="20" w:lineRule="exact"/>
              <w:rPr>
                <w:sz w:val="1"/>
                <w:szCs w:val="1"/>
                <w:color w:val="auto"/>
              </w:rPr>
            </w:pPr>
          </w:p>
        </w:tc>
        <w:tc>
          <w:tcPr>
            <w:tcW w:w="1320" w:type="dxa"/>
            <w:vAlign w:val="bottom"/>
            <w:tcBorders>
              <w:top w:val="single" w:sz="8" w:color="CCEEFF"/>
              <w:bottom w:val="single" w:sz="8" w:color="auto"/>
            </w:tcBorders>
            <w:gridSpan w:val="4"/>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3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The estimated future amortization of definite-lived intangible assets, excluding in-process research and development, is as follows (in thousands):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7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0" w:type="dxa"/>
            <w:vAlign w:val="bottom"/>
          </w:tcPr>
          <w:p>
            <w:pPr>
              <w:spacing w:after="0"/>
              <w:rPr>
                <w:sz w:val="1"/>
                <w:szCs w:val="1"/>
                <w:color w:val="auto"/>
              </w:rPr>
            </w:pPr>
          </w:p>
        </w:tc>
      </w:tr>
      <w:tr>
        <w:trPr>
          <w:trHeight w:val="18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0" w:type="dxa"/>
            <w:vAlign w:val="bottom"/>
          </w:tcPr>
          <w:p>
            <w:pPr>
              <w:spacing w:after="0"/>
              <w:rPr>
                <w:sz w:val="1"/>
                <w:szCs w:val="1"/>
                <w:color w:val="auto"/>
              </w:rPr>
            </w:pPr>
          </w:p>
        </w:tc>
      </w:tr>
      <w:tr>
        <w:trPr>
          <w:trHeight w:val="18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0" w:type="dxa"/>
            <w:vAlign w:val="bottom"/>
          </w:tcPr>
          <w:p>
            <w:pPr>
              <w:spacing w:after="0"/>
              <w:rPr>
                <w:sz w:val="1"/>
                <w:szCs w:val="1"/>
                <w:color w:val="auto"/>
              </w:rPr>
            </w:pPr>
          </w:p>
        </w:tc>
      </w:tr>
      <w:tr>
        <w:trPr>
          <w:trHeight w:val="180"/>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did not record any impairment of intangible assets in fiscal 2023, 2022 and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12—Commitments and 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7,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Assistance</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In January 2023, we received a $18.0 million Grant from the California Governor’s Office of Business and Economic Development. The Grant requires us to create and maintain full-time jobs and make significant infrastructure investments within California over a 5-year term. If we do not meet the requirements of the Grant, we will be required to repay all or a portion of the Grant. See Note 2, </w:t>
      </w:r>
      <w:r>
        <w:rPr>
          <w:rFonts w:ascii="Times New Roman" w:cs="Times New Roman" w:eastAsia="Times New Roman" w:hAnsi="Times New Roman"/>
          <w:sz w:val="14"/>
          <w:szCs w:val="14"/>
          <w:i w:val="1"/>
          <w:iCs w:val="1"/>
          <w:color w:val="auto"/>
        </w:rPr>
        <w:t xml:space="preserve">Summary of Significant Accounting Policies </w:t>
      </w:r>
      <w:r>
        <w:rPr>
          <w:rFonts w:ascii="Times New Roman" w:cs="Times New Roman" w:eastAsia="Times New Roman" w:hAnsi="Times New Roman"/>
          <w:sz w:val="14"/>
          <w:szCs w:val="14"/>
          <w:color w:val="auto"/>
        </w:rPr>
        <w:t>under the caption “Government Assistance,” for additional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Environmental Matters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are subject to U.S. federal, state, local, and foreign governmental laws and regulations relating to the protection of the environment, including those governing the discharge of pollutants into the air and water, the management and disposal of hazardous substances and wastes, the clean-up of contaminated sites and the maintenance of a safe workplace. We believe that we comply in all material respects with the environmental laws and regulations that apply to us as of December 30, 2023. There are no matters pending that we currently believe are reasonably possible of having a material impact to our business, consolidated financial condition, results of operations or cash flows. In the future, we may receive notices of violations of environmental regulations, or otherwise learn of such violations. Environmental contamination or violations may negatively impact our business.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Arrangements</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have entered, and may from time to time in the ordinary course of our business enter, into contractual arrangements with third parties that include indemnification obligations. Under these contractual arrangements, we have agreed to defend, indemnify and/or hold the third party harmless from and against certain liabilities. These arrangements include indemnities in favor of customers in the event that our products or services infringe a third party's intellectual property, or cause property damage or other indemnities in favor of our lessors in connection with facility leasehold liabilities that we may cause. In addition, we have entered into indemnification agreements with our directors and certain of our officers, and our bylaws contain indemnification obligations in favor of our directors, officers and agents. These indemnity arrangements may limit the type of the claim, the total amount that we can be required to pay in connection with the indemnification obligation and the time within which an indemnification claim can be made. The duration of the indemnification obligation may vary, and for most arrangements, survives the agreement term and is indefinite. We believe that substantially all of our indemnity arrangements provide either for limitations on the maximum potential future payments we could be obligated to make, or for limitations on the types of claims and damages we could be obligated to indemnify, or both. However, it is not possible to determine or reasonably estimate the maximum potential amount of future payments under these indemnification obligations due to the varying terms of such obligations, a lack of history of prior indemnification claims, the unique facts and circumstances involved in each particular contractual arrangement and in each potential future claim for indemnification, and the contingency of any potential liabilities upon the occurrence of events that are not reasonably determinable. We have not had any material requests for indemnification under these arrangements. We have not recorded any liabilities for these indemnification arrangements on our Consolidated Balance Sheets as of December 30, 2023 or December 31,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Matters</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From time to time, we are subject to legal proceedings and claims in the ordinary course of business, the outcomes of which cannot be estimated with certainty. Our ability to estimate the outcomes may change in the near term and the effect of any such change could have a material adverse effect on our financial position, results of operations or cash flows.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13—Stockholders'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authorized 10,000,000 shares of undesignated preferred stock, $0.001 par value, none of which is issued and outstanding. Our Board of Directors shall determine the rights, preferences, privileges and restrictions of the preferred stock, including dividend rights, conversion rights, voting rights, terms of redemption, liquidation preferences, sinking fund terms and the number of shares constituting any series or the designation of any series.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Each share of common stock has the right to one vote. The holders of common stock are also entitled to receive dividends whenever funds are legally available and when declared by the Board of Directors, subject to the prior rights of holders, if any, of all classes of stock outstanding having priority rights as to dividends. No dividends have been declared or paid as of December 30,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Repurchase Programs</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October 26, 2020, our Board of Directors authorized a two-year program to repurchase up to $50 million of outstanding common stock to offset potential dilution from issuances of common stock under our stock-based compensation programs. During fiscal 2021 and 2022, we repurchased and retired 622,400 shares of common stock for $24.0 million and 676,408 shares of common stock for $26.0 million, respectively, utilizing the remaining shares available for repurchase under the program.</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20, 2022, our Board of Directors authorized a two-year program to repurchase up to $75 million of outstanding common stock to offset potential dilution from issuance of common stock under our stock-based compensation programs. During fiscal 2022 and 2023, we repurchased and retired 1,700,893 shares of common stock for $56.4 million and 504,352 shares of common stock for $18.6 million, respectively, utilizing the remaining shares available for repurchase under the program.</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October 30, 2023, our Board of Directors authorized an additional program to repurchase up to $75 million of outstanding common stock, also with the primary purpose of offsetting potential dilution from issuance of common stock under our stock-based compensation programs. This share repurchase program will expire on October 30, 2025. During fiscal 2023, we repurchased and retired 32,020 shares of common stock for $1.2 million and as of December 30, 2023 $73.8 million remained available for future repurchases.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Plan</w:t>
      </w:r>
    </w:p>
    <w:p>
      <w:pPr>
        <w:spacing w:after="0" w:line="2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4"/>
          <w:szCs w:val="14"/>
          <w:color w:val="auto"/>
        </w:rPr>
        <w:t>We currently grant equity-based awards under our Equity Incentive Plan, as amended (the “2012 Plan”) which was approved by our stockholders. As amended, the 2012 Plan has authorized for issuance a total of 27.4 million shares, 5.0 million of which were available for grant as of December 30, 2023.</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Restricted stock units (“RSUs”) granted under the 2012 Plan generally vest over three years in annual tranches, though we have granted, and will continue to grant, such awards that vest over a shorter term for employee retention purposes. RSUs, including Performance Restricted Stock Units (“PRSUs”) are converted into shares of our common stock upon vesting on a one-for-one basis. The vesting of RSUs is subject to the employee's continuing service.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RSU activity was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20" w:type="dxa"/>
            <w:vAlign w:val="bottom"/>
          </w:tcPr>
          <w:p>
            <w:pPr>
              <w:spacing w:after="0"/>
              <w:rPr>
                <w:sz w:val="11"/>
                <w:szCs w:val="11"/>
                <w:color w:val="auto"/>
              </w:rPr>
            </w:pPr>
          </w:p>
        </w:tc>
        <w:tc>
          <w:tcPr>
            <w:tcW w:w="1440" w:type="dxa"/>
            <w:vAlign w:val="bottom"/>
            <w:vMerge w:val="restart"/>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5"/>
        </w:trPr>
        <w:tc>
          <w:tcPr>
            <w:tcW w:w="83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jc w:val="center"/>
              <w:ind w:right="155"/>
              <w:spacing w:after="0" w:line="115" w:lineRule="exact"/>
              <w:rPr>
                <w:sz w:val="20"/>
                <w:szCs w:val="20"/>
                <w:color w:val="auto"/>
              </w:rPr>
            </w:pPr>
            <w:r>
              <w:rPr>
                <w:rFonts w:ascii="Times New Roman" w:cs="Times New Roman" w:eastAsia="Times New Roman" w:hAnsi="Times New Roman"/>
                <w:sz w:val="11"/>
                <w:szCs w:val="11"/>
                <w:b w:val="1"/>
                <w:bCs w:val="1"/>
                <w:color w:val="auto"/>
              </w:rPr>
              <w:t>Average Grant</w:t>
            </w:r>
          </w:p>
        </w:tc>
        <w:tc>
          <w:tcPr>
            <w:tcW w:w="0" w:type="dxa"/>
            <w:vAlign w:val="bottom"/>
          </w:tcPr>
          <w:p>
            <w:pPr>
              <w:spacing w:after="0"/>
              <w:rPr>
                <w:sz w:val="1"/>
                <w:szCs w:val="1"/>
                <w:color w:val="auto"/>
              </w:rPr>
            </w:pPr>
          </w:p>
        </w:tc>
      </w:tr>
      <w:tr>
        <w:trPr>
          <w:trHeight w:val="155"/>
        </w:trPr>
        <w:tc>
          <w:tcPr>
            <w:tcW w:w="832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7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 at December 31,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2,227,081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0" w:type="dxa"/>
            <w:vAlign w:val="bottom"/>
          </w:tcPr>
          <w:p>
            <w:pPr>
              <w:spacing w:after="0"/>
              <w:rPr>
                <w:sz w:val="1"/>
                <w:szCs w:val="1"/>
                <w:color w:val="auto"/>
              </w:rPr>
            </w:pPr>
          </w:p>
        </w:tc>
      </w:tr>
      <w:tr>
        <w:trPr>
          <w:trHeight w:val="180"/>
        </w:trPr>
        <w:tc>
          <w:tcPr>
            <w:tcW w:w="8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1,417,931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33.85</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(941,494)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33.32</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Canceled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(537,789)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 at December 30,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2,165,729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PRSUs granted in fiscal 2023, 2022 and 2021 listed below vest based on us achieving certain market performance criteria. The performance criteria are based on a metric called Total Shareholder Return (“TSR”) for the performance period of three years, relative to the TSR of the companies identified as being part of the S&amp;P Semiconductor Select Industry Index (FormFactor peer companies) as of a specific date.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the 258,000 PRSUs granted in fiscal 2020, none of the 191,400 outstanding PRSU awards vested in 2023, at the end of the requisite service period, as the TSR performance was not met.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PRSU grant activity was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860" w:type="dxa"/>
            <w:vAlign w:val="bottom"/>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740" w:type="dxa"/>
            <w:vAlign w:val="bottom"/>
            <w:tcBorders>
              <w:bottom w:val="single" w:sz="8" w:color="auto"/>
            </w:tcBorders>
          </w:tcPr>
          <w:p>
            <w:pPr>
              <w:spacing w:after="0"/>
              <w:rPr>
                <w:sz w:val="13"/>
                <w:szCs w:val="13"/>
                <w:color w:val="auto"/>
              </w:rPr>
            </w:pPr>
          </w:p>
        </w:tc>
      </w:tr>
      <w:tr>
        <w:trPr>
          <w:trHeight w:val="154"/>
        </w:trPr>
        <w:tc>
          <w:tcPr>
            <w:tcW w:w="2860" w:type="dxa"/>
            <w:vAlign w:val="bottom"/>
          </w:tcPr>
          <w:p>
            <w:pPr>
              <w:spacing w:after="0"/>
              <w:rPr>
                <w:sz w:val="13"/>
                <w:szCs w:val="13"/>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December 30, 2023</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2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25, 2021</w:t>
            </w:r>
          </w:p>
        </w:tc>
      </w:tr>
      <w:tr>
        <w:trPr>
          <w:trHeight w:val="176"/>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 Date</w:t>
            </w: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August 7, 2023</w:t>
            </w:r>
          </w:p>
        </w:tc>
        <w:tc>
          <w:tcPr>
            <w:tcW w:w="100" w:type="dxa"/>
            <w:vAlign w:val="bottom"/>
            <w:tcBorders>
              <w:top w:val="single" w:sz="8" w:color="CCEEFF"/>
            </w:tcBorders>
            <w:shd w:val="clear" w:color="auto" w:fill="CCEEFF"/>
          </w:tcPr>
          <w:p>
            <w:pPr>
              <w:spacing w:after="0"/>
              <w:rPr>
                <w:sz w:val="15"/>
                <w:szCs w:val="15"/>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August 1, 2022</w:t>
            </w:r>
          </w:p>
        </w:tc>
        <w:tc>
          <w:tcPr>
            <w:tcW w:w="100" w:type="dxa"/>
            <w:vAlign w:val="bottom"/>
            <w:tcBorders>
              <w:top w:val="single" w:sz="8" w:color="CCEEFF"/>
            </w:tcBorders>
            <w:shd w:val="clear" w:color="auto" w:fill="CCEEFF"/>
          </w:tcPr>
          <w:p>
            <w:pPr>
              <w:spacing w:after="0"/>
              <w:rPr>
                <w:sz w:val="15"/>
                <w:szCs w:val="15"/>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August 2, 2021</w:t>
            </w:r>
          </w:p>
        </w:tc>
      </w:tr>
      <w:tr>
        <w:trPr>
          <w:trHeight w:val="18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 period</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July 1, 2023 - June 30, 2026</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July 1, 2022 - June 30, 2025</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1, 2021 - June 30, 2024</w:t>
            </w:r>
          </w:p>
        </w:tc>
      </w:tr>
      <w:tr>
        <w:trPr>
          <w:trHeight w:val="18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shares</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172,680</w:t>
            </w:r>
          </w:p>
        </w:tc>
        <w:tc>
          <w:tcPr>
            <w:tcW w:w="100" w:type="dxa"/>
            <w:vAlign w:val="bottom"/>
            <w:shd w:val="clear" w:color="auto" w:fill="CCEEFF"/>
          </w:tcPr>
          <w:p>
            <w:pPr>
              <w:spacing w:after="0"/>
              <w:rPr>
                <w:sz w:val="15"/>
                <w:szCs w:val="15"/>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204,903</w:t>
            </w:r>
          </w:p>
        </w:tc>
        <w:tc>
          <w:tcPr>
            <w:tcW w:w="100" w:type="dxa"/>
            <w:vAlign w:val="bottom"/>
            <w:shd w:val="clear" w:color="auto" w:fill="CCEEFF"/>
          </w:tcPr>
          <w:p>
            <w:pPr>
              <w:spacing w:after="0"/>
              <w:rPr>
                <w:sz w:val="15"/>
                <w:szCs w:val="15"/>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197,128</w:t>
            </w:r>
          </w:p>
        </w:tc>
      </w:tr>
      <w:tr>
        <w:trPr>
          <w:trHeight w:val="18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TSR as-of date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7, 2023</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1, 2022</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 2021</w:t>
            </w:r>
          </w:p>
        </w:tc>
      </w:tr>
      <w:tr>
        <w:trPr>
          <w:trHeight w:val="18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$8.6 million</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$8.6 million</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 million</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Stock Purchase Plan</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2012 Employee Stock Purchase Plan (the “ESPP”), as amended, allows for the issuance of a total of 12,137,559 shares. The offering periods under the ESPP are 12 months commencing on February 1 of each calendar year and ending on January 31 of the subsequent calendar year, and a six-month fixed offering period commencing on August 1 of each calendar year and ending on January 31 of the subsequent calendar year. The 12-month offering period consists of two six-month purchase periods and the six-month offering period consists of one six-month purchase period. The price of the common stock purchased is 85% of the lesser of the fair market value of the common stock on the first day of the applicable offering period or the last day of each purchase period. We have treated the 2012 ESPP as a compensatory plan.</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fiscal 2023, employees purchased 363,190 shares under this program at a weighted average exercise price of $24.29 per share, which represented a weighted average discount of $7.65 per share from the fair value of the stock purchased. As of December 30, 2023, 3,613,021 shares remained available for issuance.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14—Stock-Based Compensation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information regarding our stock-based compensation was as follows (in thousands,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Fiscal Year Ended</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20" w:type="dxa"/>
            <w:vAlign w:val="bottom"/>
          </w:tcPr>
          <w:p>
            <w:pPr>
              <w:spacing w:after="0"/>
              <w:rPr>
                <w:sz w:val="14"/>
                <w:szCs w:val="14"/>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w w:val="98"/>
              </w:rPr>
              <w:t>December 25, 2021</w:t>
            </w:r>
          </w:p>
        </w:tc>
        <w:tc>
          <w:tcPr>
            <w:tcW w:w="0" w:type="dxa"/>
            <w:vAlign w:val="bottom"/>
          </w:tcPr>
          <w:p>
            <w:pPr>
              <w:spacing w:after="0"/>
              <w:rPr>
                <w:sz w:val="1"/>
                <w:szCs w:val="1"/>
                <w:color w:val="auto"/>
              </w:rPr>
            </w:pPr>
          </w:p>
        </w:tc>
      </w:tr>
      <w:tr>
        <w:trPr>
          <w:trHeight w:val="172"/>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grant date per share fair value of RSUs granted</w:t>
            </w:r>
          </w:p>
        </w:tc>
        <w:tc>
          <w:tcPr>
            <w:tcW w:w="7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w:t>
            </w: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intrinsic value of stock options exercised</w:t>
            </w:r>
          </w:p>
        </w:tc>
        <w:tc>
          <w:tcPr>
            <w:tcW w:w="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RSUs vested</w:t>
            </w:r>
          </w:p>
        </w:tc>
        <w:tc>
          <w:tcPr>
            <w:tcW w:w="7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54,948</w:t>
            </w:r>
          </w:p>
        </w:tc>
        <w:tc>
          <w:tcPr>
            <w:tcW w:w="0" w:type="dxa"/>
            <w:vAlign w:val="bottom"/>
          </w:tcPr>
          <w:p>
            <w:pPr>
              <w:spacing w:after="0"/>
              <w:rPr>
                <w:sz w:val="1"/>
                <w:szCs w:val="1"/>
                <w:color w:val="auto"/>
              </w:rPr>
            </w:pPr>
          </w:p>
        </w:tc>
      </w:tr>
      <w:tr>
        <w:trPr>
          <w:trHeight w:val="435"/>
        </w:trPr>
        <w:tc>
          <w:tcPr>
            <w:tcW w:w="97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Pre-tax stock-based compensation expense by financial statement line and related tax benefit in the Consolidated Statements of Income are as follows (in thousands):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Fiscal Year Ended</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20" w:type="dxa"/>
            <w:vAlign w:val="bottom"/>
          </w:tcPr>
          <w:p>
            <w:pPr>
              <w:spacing w:after="0"/>
              <w:rPr>
                <w:sz w:val="14"/>
                <w:szCs w:val="14"/>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w w:val="98"/>
              </w:rPr>
              <w:t>December 25, 2021</w:t>
            </w:r>
          </w:p>
        </w:tc>
        <w:tc>
          <w:tcPr>
            <w:tcW w:w="0" w:type="dxa"/>
            <w:vAlign w:val="bottom"/>
          </w:tcPr>
          <w:p>
            <w:pPr>
              <w:spacing w:after="0"/>
              <w:rPr>
                <w:sz w:val="1"/>
                <w:szCs w:val="1"/>
                <w:color w:val="auto"/>
              </w:rPr>
            </w:pPr>
          </w:p>
        </w:tc>
      </w:tr>
      <w:tr>
        <w:trPr>
          <w:trHeight w:val="162"/>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included in:</w:t>
            </w:r>
          </w:p>
        </w:tc>
        <w:tc>
          <w:tcPr>
            <w:tcW w:w="7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revenues</w:t>
            </w:r>
          </w:p>
        </w:tc>
        <w:tc>
          <w:tcPr>
            <w:tcW w:w="2560" w:type="dxa"/>
            <w:vAlign w:val="bottom"/>
            <w:gridSpan w:val="3"/>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6,854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3,807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7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7,583</w:t>
            </w:r>
          </w:p>
        </w:tc>
        <w:tc>
          <w:tcPr>
            <w:tcW w:w="0" w:type="dxa"/>
            <w:vAlign w:val="bottom"/>
          </w:tcPr>
          <w:p>
            <w:pPr>
              <w:spacing w:after="0"/>
              <w:rPr>
                <w:sz w:val="1"/>
                <w:szCs w:val="1"/>
                <w:color w:val="auto"/>
              </w:rPr>
            </w:pPr>
          </w:p>
        </w:tc>
      </w:tr>
      <w:tr>
        <w:trPr>
          <w:trHeight w:val="180"/>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8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21,110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color w:val="auto"/>
              </w:rPr>
              <w:t>19,313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16,601</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7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38,616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Stock-based compensation tax benefit (expense)</w:t>
            </w:r>
          </w:p>
        </w:tc>
        <w:tc>
          <w:tcPr>
            <w:tcW w:w="7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12"/>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(1,424)</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gridSpan w:val="5"/>
          </w:tcPr>
          <w:p>
            <w:pPr>
              <w:jc w:val="right"/>
              <w:spacing w:after="0" w:line="143" w:lineRule="exact"/>
              <w:rPr>
                <w:sz w:val="20"/>
                <w:szCs w:val="20"/>
                <w:color w:val="auto"/>
              </w:rPr>
            </w:pPr>
            <w:r>
              <w:rPr>
                <w:rFonts w:ascii="Times New Roman" w:cs="Times New Roman" w:eastAsia="Times New Roman" w:hAnsi="Times New Roman"/>
                <w:sz w:val="14"/>
                <w:szCs w:val="14"/>
                <w:color w:val="auto"/>
              </w:rPr>
              <w:t>2,772</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6,118</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Unrecognized Stock-Based Compensation Expense</w:t>
            </w: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9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6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Unrecognized stock-based compensation expense at December 30, 2023 consisted of the following (in thousands):</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20" w:type="dxa"/>
            <w:vAlign w:val="bottom"/>
            <w:gridSpan w:val="7"/>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Unrecognized Expense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gridSpan w:val="7"/>
            <w:vMerge w:val="continue"/>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Recognition Period (Years)</w:t>
            </w:r>
          </w:p>
        </w:tc>
        <w:tc>
          <w:tcPr>
            <w:tcW w:w="0" w:type="dxa"/>
            <w:vAlign w:val="bottom"/>
          </w:tcPr>
          <w:p>
            <w:pPr>
              <w:spacing w:after="0"/>
              <w:rPr>
                <w:sz w:val="1"/>
                <w:szCs w:val="1"/>
                <w:color w:val="auto"/>
              </w:rPr>
            </w:pPr>
          </w:p>
        </w:tc>
      </w:tr>
      <w:tr>
        <w:trPr>
          <w:trHeight w:val="172"/>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48,040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 restricted stock units</w:t>
            </w:r>
          </w:p>
        </w:tc>
        <w:tc>
          <w:tcPr>
            <w:tcW w:w="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10,902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unrecognized stock-based compensation expense</w:t>
            </w: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59,317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Assumptions</w:t>
            </w: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9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assumptions were used in estimating the fair value of PRSUs:</w:t>
            </w:r>
          </w:p>
        </w:tc>
        <w:tc>
          <w:tcPr>
            <w:tcW w:w="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8"/>
          </w:tcPr>
          <w:p>
            <w:pPr>
              <w:jc w:val="center"/>
              <w:ind w:right="289"/>
              <w:spacing w:after="0"/>
              <w:rPr>
                <w:sz w:val="20"/>
                <w:szCs w:val="20"/>
                <w:color w:val="auto"/>
              </w:rPr>
            </w:pPr>
            <w:r>
              <w:rPr>
                <w:rFonts w:ascii="Times New Roman" w:cs="Times New Roman" w:eastAsia="Times New Roman" w:hAnsi="Times New Roman"/>
                <w:sz w:val="13"/>
                <w:szCs w:val="13"/>
                <w:b w:val="1"/>
                <w:bCs w:val="1"/>
                <w:color w:val="auto"/>
                <w:w w:val="95"/>
              </w:rPr>
              <w:t>Fiscal Year Ended</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8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140" w:type="dxa"/>
            <w:vAlign w:val="bottom"/>
            <w:gridSpan w:val="8"/>
          </w:tcPr>
          <w:p>
            <w:pPr>
              <w:jc w:val="center"/>
              <w:ind w:right="309"/>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120" w:type="dxa"/>
            <w:vAlign w:val="bottom"/>
          </w:tcPr>
          <w:p>
            <w:pPr>
              <w:spacing w:after="0"/>
              <w:rPr>
                <w:sz w:val="14"/>
                <w:szCs w:val="14"/>
                <w:color w:val="auto"/>
              </w:rPr>
            </w:pPr>
          </w:p>
        </w:tc>
        <w:tc>
          <w:tcPr>
            <w:tcW w:w="1400" w:type="dxa"/>
            <w:vAlign w:val="bottom"/>
            <w:gridSpan w:val="3"/>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w w:val="95"/>
              </w:rPr>
              <w:t>December 25, 2021</w:t>
            </w:r>
          </w:p>
        </w:tc>
        <w:tc>
          <w:tcPr>
            <w:tcW w:w="0" w:type="dxa"/>
            <w:vAlign w:val="bottom"/>
          </w:tcPr>
          <w:p>
            <w:pPr>
              <w:spacing w:after="0"/>
              <w:rPr>
                <w:sz w:val="1"/>
                <w:szCs w:val="1"/>
                <w:color w:val="auto"/>
              </w:rPr>
            </w:pPr>
          </w:p>
        </w:tc>
      </w:tr>
      <w:tr>
        <w:trPr>
          <w:trHeight w:val="162"/>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PRSUs:</w:t>
            </w:r>
          </w:p>
        </w:tc>
        <w:tc>
          <w:tcPr>
            <w:tcW w:w="7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 yield</w:t>
            </w:r>
          </w:p>
        </w:tc>
        <w:tc>
          <w:tcPr>
            <w:tcW w:w="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4"/>
          </w:tcPr>
          <w:p>
            <w:pPr>
              <w:jc w:val="right"/>
              <w:ind w:right="30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Expected volatility</w:t>
            </w:r>
          </w:p>
        </w:tc>
        <w:tc>
          <w:tcPr>
            <w:tcW w:w="2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50.7 %</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52.5 %</w:t>
            </w:r>
          </w:p>
        </w:tc>
        <w:tc>
          <w:tcPr>
            <w:tcW w:w="0" w:type="dxa"/>
            <w:vAlign w:val="bottom"/>
          </w:tcPr>
          <w:p>
            <w:pPr>
              <w:spacing w:after="0"/>
              <w:rPr>
                <w:sz w:val="1"/>
                <w:szCs w:val="1"/>
                <w:color w:val="auto"/>
              </w:rPr>
            </w:pPr>
          </w:p>
        </w:tc>
      </w:tr>
      <w:tr>
        <w:trPr>
          <w:trHeight w:val="180"/>
        </w:trPr>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Risk-free interest rate</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Expected life (in years)</w:t>
            </w:r>
          </w:p>
        </w:tc>
        <w:tc>
          <w:tcPr>
            <w:tcW w:w="256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center"/>
              <w:ind w:left="271"/>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774"/>
        </w:trPr>
        <w:tc>
          <w:tcPr>
            <w:tcW w:w="49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9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assumptions were used in estimating the fair value of shares under the Employee Stock Purchase Plan: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8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260" w:type="dxa"/>
            <w:vAlign w:val="bottom"/>
            <w:gridSpan w:val="6"/>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400" w:type="dxa"/>
            <w:vAlign w:val="bottom"/>
            <w:gridSpan w:val="3"/>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w w:val="95"/>
              </w:rPr>
              <w:t>December 25, 2021</w:t>
            </w:r>
          </w:p>
        </w:tc>
        <w:tc>
          <w:tcPr>
            <w:tcW w:w="0" w:type="dxa"/>
            <w:vAlign w:val="bottom"/>
          </w:tcPr>
          <w:p>
            <w:pPr>
              <w:spacing w:after="0"/>
              <w:rPr>
                <w:sz w:val="1"/>
                <w:szCs w:val="1"/>
                <w:color w:val="auto"/>
              </w:rPr>
            </w:pPr>
          </w:p>
        </w:tc>
      </w:tr>
      <w:tr>
        <w:trPr>
          <w:trHeight w:val="172"/>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tc>
        <w:tc>
          <w:tcPr>
            <w:tcW w:w="6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 yield</w:t>
            </w:r>
          </w:p>
        </w:tc>
        <w:tc>
          <w:tcPr>
            <w:tcW w:w="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Expected volatility</w:t>
            </w:r>
          </w:p>
        </w:tc>
        <w:tc>
          <w:tcPr>
            <w:tcW w:w="2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 - 60.2%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 - 60.8%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 - 74.4%</w:t>
            </w:r>
          </w:p>
        </w:tc>
        <w:tc>
          <w:tcPr>
            <w:tcW w:w="0" w:type="dxa"/>
            <w:vAlign w:val="bottom"/>
          </w:tcPr>
          <w:p>
            <w:pPr>
              <w:spacing w:after="0"/>
              <w:rPr>
                <w:sz w:val="1"/>
                <w:szCs w:val="1"/>
                <w:color w:val="auto"/>
              </w:rPr>
            </w:pPr>
          </w:p>
        </w:tc>
      </w:tr>
      <w:tr>
        <w:trPr>
          <w:trHeight w:val="180"/>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Risk-free interest rate</w:t>
            </w:r>
          </w:p>
        </w:tc>
        <w:tc>
          <w:tcPr>
            <w:tcW w:w="2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0.8% - 5.5%</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0.1% - 3.0%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- 1.5%</w:t>
            </w: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Expected life (in years)</w:t>
            </w:r>
          </w:p>
        </w:tc>
        <w:tc>
          <w:tcPr>
            <w:tcW w:w="2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0.5 - 1.0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0.5 - 1.0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0.5 - 1.0</w:t>
            </w:r>
          </w:p>
        </w:tc>
        <w:tc>
          <w:tcPr>
            <w:tcW w:w="0" w:type="dxa"/>
            <w:vAlign w:val="bottom"/>
          </w:tcPr>
          <w:p>
            <w:pPr>
              <w:spacing w:after="0"/>
              <w:rPr>
                <w:sz w:val="1"/>
                <w:szCs w:val="1"/>
                <w:color w:val="auto"/>
              </w:rPr>
            </w:pPr>
          </w:p>
        </w:tc>
      </w:tr>
      <w:tr>
        <w:trPr>
          <w:trHeight w:val="435"/>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15—Income Taxes</w:t>
            </w: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Components of Income Before Income Taxes</w:t>
            </w: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The components of income before income taxes were as follows (in thousands):</w:t>
            </w:r>
          </w:p>
        </w:tc>
        <w:tc>
          <w:tcPr>
            <w:tcW w:w="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Fiscal Year Ended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50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w w:val="98"/>
              </w:rPr>
              <w:t>December 25, 2021</w:t>
            </w:r>
          </w:p>
        </w:tc>
        <w:tc>
          <w:tcPr>
            <w:tcW w:w="0" w:type="dxa"/>
            <w:vAlign w:val="bottom"/>
          </w:tcPr>
          <w:p>
            <w:pPr>
              <w:spacing w:after="0"/>
              <w:rPr>
                <w:sz w:val="1"/>
                <w:szCs w:val="1"/>
                <w:color w:val="auto"/>
              </w:rPr>
            </w:pPr>
          </w:p>
        </w:tc>
      </w:tr>
      <w:tr>
        <w:trPr>
          <w:trHeight w:val="17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080" w:type="dxa"/>
            <w:vAlign w:val="bottom"/>
            <w:gridSpan w:val="2"/>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30,047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74,298</w:t>
            </w:r>
          </w:p>
        </w:tc>
        <w:tc>
          <w:tcPr>
            <w:tcW w:w="0" w:type="dxa"/>
            <w:vAlign w:val="bottom"/>
          </w:tcPr>
          <w:p>
            <w:pPr>
              <w:spacing w:after="0"/>
              <w:rPr>
                <w:sz w:val="1"/>
                <w:szCs w:val="1"/>
                <w:color w:val="auto"/>
              </w:rPr>
            </w:pPr>
          </w:p>
        </w:tc>
      </w:tr>
      <w:tr>
        <w:trPr>
          <w:trHeight w:val="18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68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99,948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27,823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24,202</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gridSpan w:val="2"/>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89,267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57,870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98,500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tc>
        <w:tc>
          <w:tcPr>
            <w:tcW w:w="6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The components of the provision for income taxes are as follows (in thousands):</w:t>
            </w:r>
          </w:p>
        </w:tc>
        <w:tc>
          <w:tcPr>
            <w:tcW w:w="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Fiscal Year Ended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50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w w:val="98"/>
              </w:rPr>
              <w:t>December 25, 2021</w:t>
            </w:r>
          </w:p>
        </w:tc>
        <w:tc>
          <w:tcPr>
            <w:tcW w:w="0" w:type="dxa"/>
            <w:vAlign w:val="bottom"/>
          </w:tcPr>
          <w:p>
            <w:pPr>
              <w:spacing w:after="0"/>
              <w:rPr>
                <w:sz w:val="1"/>
                <w:szCs w:val="1"/>
                <w:color w:val="auto"/>
              </w:rPr>
            </w:pPr>
          </w:p>
        </w:tc>
      </w:tr>
      <w:tr>
        <w:trPr>
          <w:trHeight w:val="17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provision:</w:t>
            </w:r>
          </w:p>
        </w:tc>
        <w:tc>
          <w:tcPr>
            <w:tcW w:w="6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Federal</w:t>
            </w:r>
          </w:p>
        </w:tc>
        <w:tc>
          <w:tcPr>
            <w:tcW w:w="2460" w:type="dxa"/>
            <w:vAlign w:val="bottom"/>
            <w:gridSpan w:val="3"/>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4,330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2,334</w:t>
            </w: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w:t>
            </w:r>
          </w:p>
        </w:tc>
        <w:tc>
          <w:tcPr>
            <w:tcW w:w="6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180"/>
        </w:trPr>
        <w:tc>
          <w:tcPr>
            <w:tcW w:w="5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Foreign</w:t>
            </w:r>
          </w:p>
        </w:tc>
        <w:tc>
          <w:tcPr>
            <w:tcW w:w="68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8,625</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7,661</w:t>
            </w:r>
          </w:p>
        </w:tc>
        <w:tc>
          <w:tcPr>
            <w:tcW w:w="0" w:type="dxa"/>
            <w:vAlign w:val="bottom"/>
          </w:tcPr>
          <w:p>
            <w:pPr>
              <w:spacing w:after="0"/>
              <w:rPr>
                <w:sz w:val="1"/>
                <w:szCs w:val="1"/>
                <w:color w:val="auto"/>
              </w:rPr>
            </w:pPr>
          </w:p>
        </w:tc>
      </w:tr>
      <w:tr>
        <w:trPr>
          <w:trHeight w:val="171"/>
        </w:trPr>
        <w:tc>
          <w:tcPr>
            <w:tcW w:w="50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13,475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10,707</w:t>
            </w:r>
          </w:p>
        </w:tc>
        <w:tc>
          <w:tcPr>
            <w:tcW w:w="0" w:type="dxa"/>
            <w:vAlign w:val="bottom"/>
          </w:tcPr>
          <w:p>
            <w:pPr>
              <w:spacing w:after="0"/>
              <w:rPr>
                <w:sz w:val="1"/>
                <w:szCs w:val="1"/>
                <w:color w:val="auto"/>
              </w:rPr>
            </w:pPr>
          </w:p>
        </w:tc>
      </w:tr>
      <w:tr>
        <w:trPr>
          <w:trHeight w:val="18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provision (benefit):</w:t>
            </w:r>
          </w:p>
        </w:tc>
        <w:tc>
          <w:tcPr>
            <w:tcW w:w="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Federal</w:t>
            </w:r>
          </w:p>
        </w:tc>
        <w:tc>
          <w:tcPr>
            <w:tcW w:w="6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(5,886)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0" w:type="dxa"/>
            <w:vAlign w:val="bottom"/>
          </w:tcPr>
          <w:p>
            <w:pPr>
              <w:spacing w:after="0"/>
              <w:rPr>
                <w:sz w:val="1"/>
                <w:szCs w:val="1"/>
                <w:color w:val="auto"/>
              </w:rPr>
            </w:pPr>
          </w:p>
        </w:tc>
      </w:tr>
      <w:tr>
        <w:trPr>
          <w:trHeight w:val="180"/>
        </w:trPr>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State</w:t>
            </w:r>
          </w:p>
        </w:tc>
        <w:tc>
          <w:tcPr>
            <w:tcW w:w="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w:t>
            </w:r>
          </w:p>
        </w:tc>
        <w:tc>
          <w:tcPr>
            <w:tcW w:w="6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(575)</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0" w:type="dxa"/>
            <w:vAlign w:val="bottom"/>
          </w:tcPr>
          <w:p>
            <w:pPr>
              <w:spacing w:after="0"/>
              <w:rPr>
                <w:sz w:val="1"/>
                <w:szCs w:val="1"/>
                <w:color w:val="auto"/>
              </w:rPr>
            </w:pPr>
          </w:p>
        </w:tc>
      </w:tr>
      <w:tr>
        <w:trPr>
          <w:trHeight w:val="171"/>
        </w:trPr>
        <w:tc>
          <w:tcPr>
            <w:tcW w:w="50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(12,100)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(6,343)</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3,869</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2080" w:type="dxa"/>
            <w:vAlign w:val="bottom"/>
            <w:tcBorders>
              <w:bottom w:val="single" w:sz="8" w:color="CCEEFF"/>
            </w:tcBorders>
            <w:gridSpan w:val="2"/>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7,132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506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0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Rate Reconciliation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the difference between income taxes computed by applying the federal statutory rate of 21% and the provision from income taxes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Fiscal Year Ended</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7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120" w:type="dxa"/>
            <w:vAlign w:val="bottom"/>
          </w:tcPr>
          <w:p>
            <w:pPr>
              <w:spacing w:after="0"/>
              <w:rPr>
                <w:sz w:val="14"/>
                <w:szCs w:val="14"/>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w w:val="98"/>
              </w:rPr>
              <w:t>December 25, 2021</w:t>
            </w:r>
          </w:p>
        </w:tc>
      </w:tr>
      <w:tr>
        <w:trPr>
          <w:trHeight w:val="172"/>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statutory federal tax rate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20,685</w:t>
            </w:r>
          </w:p>
        </w:tc>
      </w:tr>
      <w:tr>
        <w:trPr>
          <w:trHeight w:val="18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taxes and credits, net of federal benefit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w:t>
            </w: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(6,118)</w:t>
            </w:r>
          </w:p>
        </w:tc>
      </w:tr>
      <w:tr>
        <w:trPr>
          <w:trHeight w:val="18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(7,153)</w:t>
            </w: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taxes at rates different than the U.S.</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w:t>
            </w:r>
          </w:p>
        </w:tc>
      </w:tr>
      <w:tr>
        <w:trPr>
          <w:trHeight w:val="18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permanent differences</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w:t>
            </w:r>
          </w:p>
        </w:tc>
      </w:tr>
      <w:tr>
        <w:trPr>
          <w:trHeight w:val="180"/>
        </w:trPr>
        <w:tc>
          <w:tcPr>
            <w:tcW w:w="7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Foreign gain exclusion</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Global intangible low-taxed income</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derived intangible income</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w:t>
            </w:r>
          </w:p>
        </w:tc>
      </w:tr>
      <w:tr>
        <w:trPr>
          <w:trHeight w:val="18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w:t>
            </w: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contingencies, net of reversals</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w:t>
            </w:r>
          </w:p>
        </w:tc>
      </w:tr>
      <w:tr>
        <w:trPr>
          <w:trHeight w:val="18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w:t>
            </w:r>
          </w:p>
        </w:tc>
      </w:tr>
      <w:tr>
        <w:trPr>
          <w:trHeight w:val="196"/>
        </w:trPr>
        <w:tc>
          <w:tcPr>
            <w:tcW w:w="7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140" w:hanging="135"/>
        <w:spacing w:after="0"/>
        <w:tabs>
          <w:tab w:leader="none" w:pos="140" w:val="left"/>
        </w:tabs>
        <w:numPr>
          <w:ilvl w:val="0"/>
          <w:numId w:val="3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rate reconciliation includes an exclusion of a portion of the gain on the sale of the FRT business under German tax law.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Tax Assets and Liabilities</w:t>
      </w:r>
    </w:p>
    <w:p>
      <w:pPr>
        <w:spacing w:after="0" w:line="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Deferred tax assets and liabilities are recognized for the future tax consequences of differences between the carrying amounts of assets and liabilities and their respective tax basis using enacted tax rates in effect for the year in which the differences are expected to be reversed.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Significant deferred tax assets and liabilities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200" w:type="dxa"/>
            <w:vAlign w:val="bottom"/>
            <w:tcBorders>
              <w:bottom w:val="single" w:sz="8" w:color="auto"/>
            </w:tcBorders>
          </w:tcPr>
          <w:p>
            <w:pPr>
              <w:spacing w:after="0"/>
              <w:rPr>
                <w:sz w:val="14"/>
                <w:szCs w:val="14"/>
                <w:color w:val="auto"/>
              </w:rPr>
            </w:pPr>
          </w:p>
        </w:tc>
      </w:tr>
      <w:tr>
        <w:trPr>
          <w:trHeight w:val="161"/>
        </w:trPr>
        <w:tc>
          <w:tcPr>
            <w:tcW w:w="8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20" w:type="dxa"/>
            <w:vAlign w:val="bottom"/>
          </w:tcPr>
          <w:p>
            <w:pPr>
              <w:spacing w:after="0"/>
              <w:rPr>
                <w:sz w:val="14"/>
                <w:szCs w:val="14"/>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r>
      <w:tr>
        <w:trPr>
          <w:trHeight w:val="172"/>
        </w:trPr>
        <w:tc>
          <w:tcPr>
            <w:tcW w:w="8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29,074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33,025</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Inventory reserve</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14,269</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reserves and accruals</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6,527</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Non-statutory stock options</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3,180</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6,024</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expenditures capitalization</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36,821</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17,484</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18,173</w:t>
            </w:r>
          </w:p>
        </w:tc>
      </w:tr>
      <w:tr>
        <w:trPr>
          <w:trHeight w:val="171"/>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deferred tax assets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118,019</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(45,864)</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(43,295)</w:t>
            </w:r>
          </w:p>
        </w:tc>
      </w:tr>
      <w:tr>
        <w:trPr>
          <w:trHeight w:val="171"/>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85,544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74,724</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(5,219)</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Acquired intangibles and fixed assets</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(4,342)</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investment gains</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8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Tax on undistributed earnings</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7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(6,580)</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(9,810)</w:t>
            </w:r>
          </w:p>
        </w:tc>
      </w:tr>
      <w:tr>
        <w:trPr>
          <w:trHeight w:val="171"/>
        </w:trPr>
        <w:tc>
          <w:tcPr>
            <w:tcW w:w="8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deferred tax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78,964</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64,914</w:t>
            </w:r>
          </w:p>
        </w:tc>
      </w:tr>
      <w:tr>
        <w:trPr>
          <w:trHeight w:val="20"/>
        </w:trPr>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required to evaluate the realizability of our deferred tax assets in both our U.S. and non-U.S. jurisdictions on an ongoing basis to determine whether there is a need for a valuation allowance with respect to such deferred tax assets. As of December 30, 2023, we maintained a valuation allowance of $45.9 million, primarily related to California deferred tax assets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and foreign tax credit carryovers, due to uncertainty about the future realization of these assets. We believe that future reversals of taxable temporary differences, and our forecast of continued earnings in both our U.S. and non-U.S. jurisdictions, support our decision to not record a valuation allowance on other deferred tax assets.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Credits and Carryforwards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 credits and carryforwards available to us at December 30, 2023 consisted of the following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Latest Expiration Date</w:t>
            </w:r>
          </w:p>
        </w:tc>
      </w:tr>
      <w:tr>
        <w:trPr>
          <w:trHeight w:val="173"/>
        </w:trPr>
        <w:tc>
          <w:tcPr>
            <w:tcW w:w="8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research and development tax credit</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19,672</w:t>
            </w:r>
          </w:p>
        </w:tc>
        <w:tc>
          <w:tcPr>
            <w:tcW w:w="1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2040-2042</w:t>
            </w: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tax credit carryforwards</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2024-2027</w:t>
            </w: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 research credits</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57,077</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net operating loss carryforwards</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241,241</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2026-Indefinite</w:t>
            </w: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Singapore net operating loss carryforwards</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4,279</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Undistributed Earnings</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December 30, 2023, unremitted earnings of foreign subsidiaries was estimated at $39.3 million. We intend to permanently invest $12.0 million of undistributed earnings indefinitely outside of the U.S. To the extent we repatriate the remaining $27.3 million of undistributed foreign earnings to the U.S., we established a deferred tax liability of $0.2 million for foreign withholding taxes. Our estimates are provisional and subject to change because of the complexity and variety of assumptions necessary to compute the tax.</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Unrecognized Tax Benefits</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recognize the benefits of tax return positions if we determine that the positions are “more-likely-than-not” to be sustained by the taxing authority. Interest and penalties accrued on unrecognized tax benefits are recorded as tax expense in the period incurred.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reflects changes in the unrecognized tax benefits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Fiscal Year Ended</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7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120" w:type="dxa"/>
            <w:vAlign w:val="bottom"/>
          </w:tcPr>
          <w:p>
            <w:pPr>
              <w:spacing w:after="0"/>
              <w:rPr>
                <w:sz w:val="14"/>
                <w:szCs w:val="14"/>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w w:val="98"/>
              </w:rPr>
              <w:t>December 25, 2021</w:t>
            </w:r>
          </w:p>
        </w:tc>
      </w:tr>
      <w:tr>
        <w:trPr>
          <w:trHeight w:val="172"/>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tax benefit, beginning balance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40,098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32,497</w:t>
            </w:r>
          </w:p>
        </w:tc>
      </w:tr>
      <w:tr>
        <w:trPr>
          <w:trHeight w:val="18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based on tax positions related to the current year</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3,201</w:t>
            </w: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based on tax positions from prior years</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8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Reductions for tax positions of prior years</w:t>
            </w:r>
          </w:p>
        </w:tc>
        <w:tc>
          <w:tcPr>
            <w:tcW w:w="12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Reductions due to lapse of the applicable statute of limitations</w:t>
            </w: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7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Unrecognized tax benefit, ending balance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45,574</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40,098</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35,745</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3"/>
        </w:trPr>
        <w:tc>
          <w:tcPr>
            <w:tcW w:w="7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penalties recognized as a component of provision for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penalties accrued at period end</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the unrecognized tax benefits at December 30, 2023, $24.0 million would impact the effective tax rate if recognized.</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amount of income taxes we pay is subject to ongoing audits by federal, state and foreign tax authorities which might result in proposed assessments. Our estimate for the potential outcome for any uncertain tax issue is judgmental in nature. However, we believe we have adequately provided for any reasonably foreseeable outcome related to those matters. Our future results may include favorable or unfavorable adjustments to our estimated tax liabilities in the period the assessments are made or resolved or when statutes of limitation on potential assessments expire. As of December 30, 2023, changes to our uncertain tax positions in the next 12 months that are reasonably possible are not expected to have a significant impact on our financial position or results of operations.</w:t>
      </w:r>
    </w:p>
    <w:p>
      <w:pPr>
        <w:spacing w:after="0" w:line="3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December 30, 2023, our tax years 2020 through 2023, 2019 through 2023 and 2018 through 2023 remain open for examination in the federal, state and foreign jurisdictions, respectively. However, to the extent allowed by law, the taxing authorities may have the right to examine prior periods where net operating losses and credits were generated and carried forward, and make adjustments up to the net operating loss and credit carryforward amounts.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16—Employee Benefit Plans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an employee savings plan that qualifies as a deferred salary arrangement under Section 401(k) of the Internal Revenue Code. The plan is designed to provide employees with an accumulation of funds for retirement on a tax-deferred basis and provide for annual discretionary employer contributions. The total charge to net income under the 401(k) plan for fiscal 2023, 2022 and 2021 aggregated to $2.3 million, $2.7 million and $2.7 million,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17—Segments and Geographic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operate in two reportable segments consisting of the Probe Cards Segment and the Systems Segment.</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chief operating decision maker (“CODM”) is our Chief Executive Officer, who reviews operating results to make decisions about allocating resources and assessing performance for the entire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operating results by reportable segment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7"/>
          </w:tcPr>
          <w:p>
            <w:pPr>
              <w:ind w:left="1000"/>
              <w:spacing w:after="0"/>
              <w:rPr>
                <w:sz w:val="20"/>
                <w:szCs w:val="20"/>
                <w:color w:val="auto"/>
              </w:rPr>
            </w:pPr>
            <w:r>
              <w:rPr>
                <w:rFonts w:ascii="Times New Roman" w:cs="Times New Roman" w:eastAsia="Times New Roman" w:hAnsi="Times New Roman"/>
                <w:sz w:val="13"/>
                <w:szCs w:val="13"/>
                <w:b w:val="1"/>
                <w:bCs w:val="1"/>
                <w:color w:val="auto"/>
              </w:rPr>
              <w:t>Fiscal 2023</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61"/>
        </w:trPr>
        <w:tc>
          <w:tcPr>
            <w:tcW w:w="4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Probe Cards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360" w:type="dxa"/>
            <w:vAlign w:val="bottom"/>
          </w:tcPr>
          <w:p>
            <w:pPr>
              <w:spacing w:after="0"/>
              <w:rPr>
                <w:sz w:val="14"/>
                <w:szCs w:val="14"/>
                <w:color w:val="auto"/>
              </w:rPr>
            </w:pPr>
          </w:p>
        </w:tc>
        <w:tc>
          <w:tcPr>
            <w:tcW w:w="1240" w:type="dxa"/>
            <w:vAlign w:val="bottom"/>
          </w:tcPr>
          <w:p>
            <w:pPr>
              <w:jc w:val="right"/>
              <w:ind w:right="59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497,903</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165,199</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663,102</w:t>
            </w:r>
          </w:p>
        </w:tc>
      </w:tr>
      <w:tr>
        <w:trPr>
          <w:trHeight w:val="18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185,392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84,735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258,580</w:t>
            </w:r>
          </w:p>
        </w:tc>
      </w:tr>
      <w:tr>
        <w:trPr>
          <w:trHeight w:val="18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37.2 %</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51.3 %</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39.0 %</w:t>
            </w:r>
          </w:p>
        </w:tc>
      </w:tr>
      <w:tr>
        <w:trPr>
          <w:trHeight w:val="263"/>
        </w:trPr>
        <w:tc>
          <w:tcPr>
            <w:tcW w:w="4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7"/>
          </w:tcPr>
          <w:p>
            <w:pPr>
              <w:ind w:left="1000"/>
              <w:spacing w:after="0"/>
              <w:rPr>
                <w:sz w:val="20"/>
                <w:szCs w:val="20"/>
                <w:color w:val="auto"/>
              </w:rPr>
            </w:pPr>
            <w:r>
              <w:rPr>
                <w:rFonts w:ascii="Times New Roman" w:cs="Times New Roman" w:eastAsia="Times New Roman" w:hAnsi="Times New Roman"/>
                <w:sz w:val="13"/>
                <w:szCs w:val="13"/>
                <w:b w:val="1"/>
                <w:bCs w:val="1"/>
                <w:color w:val="auto"/>
              </w:rPr>
              <w:t>Fiscal 2022</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161"/>
        </w:trPr>
        <w:tc>
          <w:tcPr>
            <w:tcW w:w="4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Probe Cards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360" w:type="dxa"/>
            <w:vAlign w:val="bottom"/>
          </w:tcPr>
          <w:p>
            <w:pPr>
              <w:spacing w:after="0"/>
              <w:rPr>
                <w:sz w:val="14"/>
                <w:szCs w:val="14"/>
                <w:color w:val="auto"/>
              </w:rPr>
            </w:pPr>
          </w:p>
        </w:tc>
        <w:tc>
          <w:tcPr>
            <w:tcW w:w="1240" w:type="dxa"/>
            <w:vAlign w:val="bottom"/>
          </w:tcPr>
          <w:p>
            <w:pPr>
              <w:jc w:val="right"/>
              <w:ind w:right="59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591,422</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156,515</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747,937</w:t>
            </w:r>
          </w:p>
        </w:tc>
      </w:tr>
      <w:tr>
        <w:trPr>
          <w:trHeight w:val="18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235,562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80,937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296,009</w:t>
            </w:r>
          </w:p>
        </w:tc>
      </w:tr>
      <w:tr>
        <w:trPr>
          <w:trHeight w:val="18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39.8 %</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51.7 %</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39.6 %</w:t>
            </w:r>
          </w:p>
        </w:tc>
      </w:tr>
      <w:tr>
        <w:trPr>
          <w:trHeight w:val="252"/>
        </w:trPr>
        <w:tc>
          <w:tcPr>
            <w:tcW w:w="46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7"/>
          </w:tcPr>
          <w:p>
            <w:pPr>
              <w:ind w:left="980"/>
              <w:spacing w:after="0"/>
              <w:rPr>
                <w:sz w:val="20"/>
                <w:szCs w:val="20"/>
                <w:color w:val="auto"/>
              </w:rPr>
            </w:pPr>
            <w:r>
              <w:rPr>
                <w:rFonts w:ascii="Times New Roman" w:cs="Times New Roman" w:eastAsia="Times New Roman" w:hAnsi="Times New Roman"/>
                <w:sz w:val="13"/>
                <w:szCs w:val="13"/>
                <w:b w:val="1"/>
                <w:bCs w:val="1"/>
                <w:color w:val="auto"/>
              </w:rPr>
              <w:t>Fiscal 2021</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r>
        <w:trPr>
          <w:trHeight w:val="161"/>
        </w:trPr>
        <w:tc>
          <w:tcPr>
            <w:tcW w:w="4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Probe Cards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360" w:type="dxa"/>
            <w:vAlign w:val="bottom"/>
          </w:tcPr>
          <w:p>
            <w:pPr>
              <w:spacing w:after="0"/>
              <w:rPr>
                <w:sz w:val="14"/>
                <w:szCs w:val="14"/>
                <w:color w:val="auto"/>
              </w:rPr>
            </w:pPr>
          </w:p>
        </w:tc>
        <w:tc>
          <w:tcPr>
            <w:tcW w:w="1240" w:type="dxa"/>
            <w:vAlign w:val="bottom"/>
          </w:tcPr>
          <w:p>
            <w:pPr>
              <w:jc w:val="right"/>
              <w:ind w:right="59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80" w:type="dxa"/>
            <w:vAlign w:val="bottom"/>
            <w:tcBorders>
              <w:top w:val="single" w:sz="8" w:color="auto"/>
            </w:tcBorders>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633,281</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136,393</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769,674</w:t>
            </w:r>
          </w:p>
        </w:tc>
      </w:tr>
      <w:tr>
        <w:trPr>
          <w:trHeight w:val="18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279,873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65,834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322,767</w:t>
            </w:r>
          </w:p>
        </w:tc>
      </w:tr>
      <w:tr>
        <w:trPr>
          <w:trHeight w:val="18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44.2 %</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41.9 %</w:t>
            </w: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Operating results provide useful information to our management for assessment of our performance and results of operations. Certain components of our operating results are utilized to determine executive compensation along with other measures.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Corporate and Other includes unallocated expenses relating to amortization of stock-based compensation expense, intangible assets, acquisition-related costs, including charges related to inventory and fixed assets stepped up to fair value, restructuring charges, and other costs, which are not used in evaluating the results of, or in allocating resources to, our reportable segments. Acquisition-related costs include transaction costs and any costs directly related to the acquisition and integration of acquired businesses.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revenue, by geographic region, as a percentage of total revenues based upon ship-to location: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60" w:type="dxa"/>
            <w:vAlign w:val="bottom"/>
          </w:tcPr>
          <w:p>
            <w:pPr>
              <w:spacing w:after="0"/>
              <w:rPr>
                <w:sz w:val="14"/>
                <w:szCs w:val="14"/>
                <w:color w:val="auto"/>
              </w:rPr>
            </w:pPr>
          </w:p>
        </w:tc>
        <w:tc>
          <w:tcPr>
            <w:tcW w:w="1700" w:type="dxa"/>
            <w:vAlign w:val="bottom"/>
            <w:gridSpan w:val="6"/>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3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w w:val="97"/>
              </w:rPr>
              <w:t>December 25, 2021</w:t>
            </w:r>
          </w:p>
        </w:tc>
        <w:tc>
          <w:tcPr>
            <w:tcW w:w="0" w:type="dxa"/>
            <w:vAlign w:val="bottom"/>
          </w:tcPr>
          <w:p>
            <w:pPr>
              <w:spacing w:after="0"/>
              <w:rPr>
                <w:sz w:val="1"/>
                <w:szCs w:val="1"/>
                <w:color w:val="auto"/>
              </w:rPr>
            </w:pPr>
          </w:p>
        </w:tc>
      </w:tr>
      <w:tr>
        <w:trPr>
          <w:trHeight w:val="18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15.9 %</w:t>
            </w: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Taiwan</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 Korea</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Malaysia</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 of World</w:t>
            </w:r>
          </w:p>
        </w:tc>
        <w:tc>
          <w:tcPr>
            <w:tcW w:w="2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6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following table summarizes revenue by market (in thousands):</w:t>
            </w: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7"/>
              </w:rPr>
              <w:t>Fiscal Year Ended</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December 25, 2021</w:t>
            </w:r>
          </w:p>
        </w:tc>
        <w:tc>
          <w:tcPr>
            <w:tcW w:w="0" w:type="dxa"/>
            <w:vAlign w:val="bottom"/>
          </w:tcPr>
          <w:p>
            <w:pPr>
              <w:spacing w:after="0"/>
              <w:rPr>
                <w:sz w:val="1"/>
                <w:szCs w:val="1"/>
                <w:color w:val="auto"/>
              </w:rPr>
            </w:pPr>
          </w:p>
        </w:tc>
      </w:tr>
      <w:tr>
        <w:trPr>
          <w:trHeight w:val="172"/>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Foundry &amp; Logic</w:t>
            </w:r>
          </w:p>
        </w:tc>
        <w:tc>
          <w:tcPr>
            <w:tcW w:w="2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363,539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409,196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435,812</w:t>
            </w: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DRAM</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113,779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133,446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156,049</w:t>
            </w:r>
          </w:p>
        </w:tc>
        <w:tc>
          <w:tcPr>
            <w:tcW w:w="0" w:type="dxa"/>
            <w:vAlign w:val="bottom"/>
          </w:tcPr>
          <w:p>
            <w:pPr>
              <w:spacing w:after="0"/>
              <w:rPr>
                <w:sz w:val="1"/>
                <w:szCs w:val="1"/>
                <w:color w:val="auto"/>
              </w:rPr>
            </w:pP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Flash</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20,585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48,780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41,420</w:t>
            </w:r>
          </w:p>
        </w:tc>
        <w:tc>
          <w:tcPr>
            <w:tcW w:w="0" w:type="dxa"/>
            <w:vAlign w:val="bottom"/>
          </w:tcPr>
          <w:p>
            <w:pPr>
              <w:spacing w:after="0"/>
              <w:rPr>
                <w:sz w:val="1"/>
                <w:szCs w:val="1"/>
                <w:color w:val="auto"/>
              </w:rPr>
            </w:pPr>
          </w:p>
        </w:tc>
      </w:tr>
      <w:tr>
        <w:trPr>
          <w:trHeight w:val="18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Systems</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165,199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156,515</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136,393</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663,102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747,937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769,674</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revenue by timing of revenue recognition (in thousands):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w w:val="99"/>
              </w:rPr>
              <w:t>Fiscal Year Ended</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25, 2021</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w w:val="99"/>
              </w:rPr>
              <w:t>Probe Cards</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w w:val="99"/>
              </w:rPr>
              <w:t>Probe Cards</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w w:val="99"/>
              </w:rPr>
              <w:t>Probe Cards</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Systems</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08"/>
        </w:trPr>
        <w:tc>
          <w:tcPr>
            <w:tcW w:w="194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Products transferred at a point in</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494,624</w:t>
            </w:r>
          </w:p>
        </w:tc>
        <w:tc>
          <w:tcPr>
            <w:tcW w:w="260" w:type="dxa"/>
            <w:vAlign w:val="bottom"/>
            <w:gridSpan w:val="2"/>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155,145</w:t>
            </w: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649,769</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587,738</w:t>
            </w:r>
          </w:p>
        </w:tc>
        <w:tc>
          <w:tcPr>
            <w:tcW w:w="2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144,456</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732,194</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630,038</w:t>
            </w:r>
          </w:p>
        </w:tc>
        <w:tc>
          <w:tcPr>
            <w:tcW w:w="260" w:type="dxa"/>
            <w:vAlign w:val="bottom"/>
            <w:gridSpan w:val="2"/>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124,788</w:t>
            </w: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754,826</w:t>
            </w:r>
          </w:p>
        </w:tc>
        <w:tc>
          <w:tcPr>
            <w:tcW w:w="0" w:type="dxa"/>
            <w:vAlign w:val="bottom"/>
          </w:tcPr>
          <w:p>
            <w:pPr>
              <w:spacing w:after="0"/>
              <w:rPr>
                <w:sz w:val="1"/>
                <w:szCs w:val="1"/>
                <w:color w:val="auto"/>
              </w:rPr>
            </w:pPr>
          </w:p>
        </w:tc>
      </w:tr>
      <w:tr>
        <w:trPr>
          <w:trHeight w:val="17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time</w:t>
            </w:r>
          </w:p>
        </w:tc>
        <w:tc>
          <w:tcPr>
            <w:tcW w:w="1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Services transferred over time</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13,333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12,059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3,243</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14,848</w:t>
            </w:r>
          </w:p>
        </w:tc>
        <w:tc>
          <w:tcPr>
            <w:tcW w:w="0" w:type="dxa"/>
            <w:vAlign w:val="bottom"/>
          </w:tcPr>
          <w:p>
            <w:pPr>
              <w:spacing w:after="0"/>
              <w:rPr>
                <w:sz w:val="1"/>
                <w:szCs w:val="1"/>
                <w:color w:val="auto"/>
              </w:rPr>
            </w:pPr>
          </w:p>
        </w:tc>
      </w:tr>
      <w:tr>
        <w:trPr>
          <w:trHeight w:val="196"/>
        </w:trPr>
        <w:tc>
          <w:tcPr>
            <w:tcW w:w="1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497,903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165,199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663,102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591,422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156,515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747,937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633,281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136,393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769,674</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Long-lived assets, comprised of Operating lease, Right-of-use assets, Property, plant and equipment, net, Goodwill and Intangibles, net, reported based on the location of the asset was as follows (in thousands):</w:t>
      </w: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6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60" w:type="dxa"/>
            <w:vAlign w:val="bottom"/>
          </w:tcPr>
          <w:p>
            <w:pPr>
              <w:spacing w:after="0"/>
              <w:rPr>
                <w:sz w:val="14"/>
                <w:szCs w:val="14"/>
                <w:color w:val="auto"/>
              </w:rPr>
            </w:pPr>
          </w:p>
        </w:tc>
        <w:tc>
          <w:tcPr>
            <w:tcW w:w="1360" w:type="dxa"/>
            <w:vAlign w:val="bottom"/>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December 25, 2021</w:t>
            </w:r>
          </w:p>
        </w:tc>
      </w:tr>
      <w:tr>
        <w:trPr>
          <w:trHeight w:val="173"/>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414,607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406,529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372,338</w:t>
            </w: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47,700</w:t>
            </w: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Asia-Pacific</w:t>
            </w:r>
          </w:p>
        </w:tc>
        <w:tc>
          <w:tcPr>
            <w:tcW w:w="1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10,368</w:t>
            </w:r>
          </w:p>
        </w:tc>
      </w:tr>
      <w:tr>
        <w:trPr>
          <w:trHeight w:val="171"/>
        </w:trPr>
        <w:tc>
          <w:tcPr>
            <w:tcW w:w="6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448,946</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459,405</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430,406</w:t>
            </w:r>
          </w:p>
        </w:tc>
      </w:tr>
      <w:tr>
        <w:trPr>
          <w:trHeight w:val="20"/>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18—New Accounting Pronouncements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ASU 2023-09</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December 2023, the Financial Accounting Standards Board (the “FASB”) issued Accounting Standards Update (“ASU”) 2023-09, “</w:t>
      </w:r>
      <w:r>
        <w:rPr>
          <w:rFonts w:ascii="Times New Roman" w:cs="Times New Roman" w:eastAsia="Times New Roman" w:hAnsi="Times New Roman"/>
          <w:sz w:val="14"/>
          <w:szCs w:val="14"/>
          <w:i w:val="1"/>
          <w:iCs w:val="1"/>
          <w:color w:val="auto"/>
        </w:rPr>
        <w:t>Income Taxes (Topic 740): Improvements to Income Tax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Disclosures.</w:t>
      </w:r>
      <w:r>
        <w:rPr>
          <w:rFonts w:ascii="Times New Roman" w:cs="Times New Roman" w:eastAsia="Times New Roman" w:hAnsi="Times New Roman"/>
          <w:sz w:val="14"/>
          <w:szCs w:val="14"/>
          <w:color w:val="auto"/>
        </w:rPr>
        <w:t>” The ASU includes requirements that an entity disclose specific categories in the rate reconciliation and provide additional information for reconciling items that are greater than five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percent of the amount computed by multiplying pretax income by the applicable statutory income tax rate. The standard also requires that entities disclose income before income taxes and provision for income taxes disaggregated between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t>FORMFACTOR,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domestic and foreign. This ASU is effective for annual periods beginning after December 15, 2024, with early adoption permitted. We have not yet determined the impact of this standard on our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ASU 2023-07</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The ASU includes requirements that an entity disclose the title of the CODM and on an interim and annual basis, significant segment expenses and the composition of other segment items for each segment's reported profit. The standard also permits disclosure of additional measures of segment profit. This ASU is effective for fiscal years beginning after December 15, 2023, and interim periods within fiscal years beginning after December 15, 2024, on a retrospective basis, with early adoption permitted. We have not yet determined the impact of this standard on our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ASU 2020-04</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In March 2020, the FASB issued ASU 2020-04, </w:t>
      </w:r>
      <w:r>
        <w:rPr>
          <w:rFonts w:ascii="Times New Roman" w:cs="Times New Roman" w:eastAsia="Times New Roman" w:hAnsi="Times New Roman"/>
          <w:sz w:val="14"/>
          <w:szCs w:val="14"/>
          <w:i w:val="1"/>
          <w:iCs w:val="1"/>
          <w:color w:val="auto"/>
        </w:rPr>
        <w:t>“Reference Rate Reform (Topic 848): Facilitation of the Effects of Reference Rate Reform on Financial Reporting.”</w:t>
      </w:r>
      <w:r>
        <w:rPr>
          <w:rFonts w:ascii="Times New Roman" w:cs="Times New Roman" w:eastAsia="Times New Roman" w:hAnsi="Times New Roman"/>
          <w:sz w:val="14"/>
          <w:szCs w:val="14"/>
          <w:color w:val="auto"/>
        </w:rPr>
        <w:t xml:space="preserve"> The ASU provides temporary optional expedients and exceptions for applying GAAP to contract modifications and hedging relationships, subject to meeting certain criteria, that reference the London Interbank Offered Rate (“LIBOR“) or another reference rate expected to be discontinued. In December 2022, the FASB issued ASU 2022-06, </w:t>
      </w:r>
      <w:r>
        <w:rPr>
          <w:rFonts w:ascii="Times New Roman" w:cs="Times New Roman" w:eastAsia="Times New Roman" w:hAnsi="Times New Roman"/>
          <w:sz w:val="14"/>
          <w:szCs w:val="14"/>
          <w:i w:val="1"/>
          <w:iCs w:val="1"/>
          <w:color w:val="auto"/>
        </w:rPr>
        <w:t>“Reference Rate Reform (Topic 848): Deferral of the Sunset Date of Topic 848,”</w:t>
      </w:r>
      <w:r>
        <w:rPr>
          <w:rFonts w:ascii="Times New Roman" w:cs="Times New Roman" w:eastAsia="Times New Roman" w:hAnsi="Times New Roman"/>
          <w:sz w:val="14"/>
          <w:szCs w:val="14"/>
          <w:color w:val="auto"/>
        </w:rPr>
        <w:t xml:space="preserve"> extending the relief offered in Topic 848 from December 31, 2022 to December 31, 2024, after which entities will no longer be permitted to apply the optional expedients in Topic 848.</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May 2023, the Company entered into a rate replacement amendment to its credit facility loan agreement to replace LIBOR with the Secured Overnight Financing Rate (“SOFR”) and concurrently signed an amendment to modify the floating rate option on its interest rate swap to match that of the debt. The Company applied practical expedients provided in Topic 848 allowing the modified instrument to be accounted for and presented in the same manner as the instrument existing before the modification. These modifications did not have a significant impact on our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19-Subsequent Events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February 7, 2024, the Company announced entry into a definitive agreement to sell its China operations to Grand Junction Semiconductor Pte. Ltd. for $25.0 million in cash, subject to customary purchase price adjustments, and establish an exclusive distribution and partnership agreement to continue sales and support of our products to the region. The following subsidiaries are included as part of the divestiture: Microprobe HongKong Limited, FormFactor Technology (Suzhou) Co. Ltd., Cascade Microtech Singapore Pte, Ltd, and FormFactor International (Shanghai) Trading Co., Ltd.</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1280"/>
          </w:cols>
          <w:pgMar w:left="300" w:top="123" w:right="319" w:bottom="1440"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75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LIST OF REGISTRANT'S SUBSIDIARIES</w:t>
            </w:r>
          </w:p>
        </w:tc>
      </w:tr>
      <w:tr>
        <w:trPr>
          <w:trHeight w:val="171"/>
        </w:trPr>
        <w:tc>
          <w:tcPr>
            <w:tcW w:w="3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SUBSIDIARY NAME</w:t>
            </w:r>
          </w:p>
        </w:tc>
        <w:tc>
          <w:tcPr>
            <w:tcW w:w="7500" w:type="dxa"/>
            <w:vAlign w:val="bottom"/>
          </w:tcPr>
          <w:p>
            <w:pPr>
              <w:ind w:left="3900"/>
              <w:spacing w:after="0"/>
              <w:rPr>
                <w:sz w:val="20"/>
                <w:szCs w:val="20"/>
                <w:color w:val="auto"/>
              </w:rPr>
            </w:pPr>
            <w:r>
              <w:rPr>
                <w:rFonts w:ascii="Times New Roman" w:cs="Times New Roman" w:eastAsia="Times New Roman" w:hAnsi="Times New Roman"/>
                <w:sz w:val="11"/>
                <w:szCs w:val="11"/>
                <w:b w:val="1"/>
                <w:bCs w:val="1"/>
                <w:color w:val="auto"/>
              </w:rPr>
              <w:t>JURISDICTION OF ORGANIZATION</w:t>
            </w:r>
          </w:p>
        </w:tc>
      </w:tr>
      <w:tr>
        <w:trPr>
          <w:trHeight w:val="19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FormFactor International, Inc.</w:t>
            </w:r>
          </w:p>
        </w:tc>
        <w:tc>
          <w:tcPr>
            <w:tcW w:w="7500" w:type="dxa"/>
            <w:vAlign w:val="bottom"/>
            <w:shd w:val="clear" w:color="auto" w:fill="CCEEFF"/>
          </w:tcPr>
          <w:p>
            <w:pPr>
              <w:ind w:left="3900"/>
              <w:spacing w:after="0"/>
              <w:rPr>
                <w:sz w:val="20"/>
                <w:szCs w:val="20"/>
                <w:color w:val="auto"/>
              </w:rPr>
            </w:pPr>
            <w:r>
              <w:rPr>
                <w:rFonts w:ascii="Times New Roman" w:cs="Times New Roman" w:eastAsia="Times New Roman" w:hAnsi="Times New Roman"/>
                <w:sz w:val="14"/>
                <w:szCs w:val="14"/>
                <w:color w:val="auto"/>
              </w:rPr>
              <w:t>Delaware, United States</w:t>
            </w: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FormFactor, K.K.</w:t>
            </w:r>
          </w:p>
        </w:tc>
        <w:tc>
          <w:tcPr>
            <w:tcW w:w="7500" w:type="dxa"/>
            <w:vAlign w:val="bottom"/>
          </w:tcPr>
          <w:p>
            <w:pPr>
              <w:ind w:left="3900"/>
              <w:spacing w:after="0"/>
              <w:rPr>
                <w:sz w:val="20"/>
                <w:szCs w:val="20"/>
                <w:color w:val="auto"/>
              </w:rPr>
            </w:pPr>
            <w:r>
              <w:rPr>
                <w:rFonts w:ascii="Times New Roman" w:cs="Times New Roman" w:eastAsia="Times New Roman" w:hAnsi="Times New Roman"/>
                <w:sz w:val="14"/>
                <w:szCs w:val="14"/>
                <w:color w:val="auto"/>
              </w:rPr>
              <w:t>Japan</w:t>
            </w: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FormFactor Korea, Inc.</w:t>
            </w:r>
          </w:p>
        </w:tc>
        <w:tc>
          <w:tcPr>
            <w:tcW w:w="7500" w:type="dxa"/>
            <w:vAlign w:val="bottom"/>
            <w:shd w:val="clear" w:color="auto" w:fill="CCEEFF"/>
          </w:tcPr>
          <w:p>
            <w:pPr>
              <w:ind w:left="3900"/>
              <w:spacing w:after="0"/>
              <w:rPr>
                <w:sz w:val="20"/>
                <w:szCs w:val="20"/>
                <w:color w:val="auto"/>
              </w:rPr>
            </w:pPr>
            <w:r>
              <w:rPr>
                <w:rFonts w:ascii="Times New Roman" w:cs="Times New Roman" w:eastAsia="Times New Roman" w:hAnsi="Times New Roman"/>
                <w:sz w:val="14"/>
                <w:szCs w:val="14"/>
                <w:color w:val="auto"/>
              </w:rPr>
              <w:t>South Korea</w:t>
            </w: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FormFactor Singapore Pte. Ltd.</w:t>
            </w:r>
          </w:p>
        </w:tc>
        <w:tc>
          <w:tcPr>
            <w:tcW w:w="7500" w:type="dxa"/>
            <w:vAlign w:val="bottom"/>
          </w:tcPr>
          <w:p>
            <w:pPr>
              <w:ind w:left="3900"/>
              <w:spacing w:after="0"/>
              <w:rPr>
                <w:sz w:val="20"/>
                <w:szCs w:val="20"/>
                <w:color w:val="auto"/>
              </w:rPr>
            </w:pPr>
            <w:r>
              <w:rPr>
                <w:rFonts w:ascii="Times New Roman" w:cs="Times New Roman" w:eastAsia="Times New Roman" w:hAnsi="Times New Roman"/>
                <w:sz w:val="14"/>
                <w:szCs w:val="14"/>
                <w:color w:val="auto"/>
              </w:rPr>
              <w:t>Singapore</w:t>
            </w: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Microprobe HongKong Limited</w:t>
            </w:r>
          </w:p>
        </w:tc>
        <w:tc>
          <w:tcPr>
            <w:tcW w:w="7500" w:type="dxa"/>
            <w:vAlign w:val="bottom"/>
            <w:shd w:val="clear" w:color="auto" w:fill="CCEEFF"/>
          </w:tcPr>
          <w:p>
            <w:pPr>
              <w:ind w:left="3900"/>
              <w:spacing w:after="0"/>
              <w:rPr>
                <w:sz w:val="20"/>
                <w:szCs w:val="20"/>
                <w:color w:val="auto"/>
              </w:rPr>
            </w:pPr>
            <w:r>
              <w:rPr>
                <w:rFonts w:ascii="Times New Roman" w:cs="Times New Roman" w:eastAsia="Times New Roman" w:hAnsi="Times New Roman"/>
                <w:sz w:val="14"/>
                <w:szCs w:val="14"/>
                <w:color w:val="auto"/>
              </w:rPr>
              <w:t>Hong Kong</w:t>
            </w: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FormFactor Technology (Suzhou) Co. Ltd.</w:t>
            </w:r>
          </w:p>
        </w:tc>
        <w:tc>
          <w:tcPr>
            <w:tcW w:w="7500" w:type="dxa"/>
            <w:vAlign w:val="bottom"/>
          </w:tcPr>
          <w:p>
            <w:pPr>
              <w:ind w:left="3900"/>
              <w:spacing w:after="0"/>
              <w:rPr>
                <w:sz w:val="20"/>
                <w:szCs w:val="20"/>
                <w:color w:val="auto"/>
              </w:rPr>
            </w:pPr>
            <w:r>
              <w:rPr>
                <w:rFonts w:ascii="Times New Roman" w:cs="Times New Roman" w:eastAsia="Times New Roman" w:hAnsi="Times New Roman"/>
                <w:sz w:val="14"/>
                <w:szCs w:val="14"/>
                <w:color w:val="auto"/>
              </w:rPr>
              <w:t>People's Republic of China</w:t>
            </w: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FormFactor GmbH</w:t>
            </w:r>
          </w:p>
        </w:tc>
        <w:tc>
          <w:tcPr>
            <w:tcW w:w="7500" w:type="dxa"/>
            <w:vAlign w:val="bottom"/>
            <w:shd w:val="clear" w:color="auto" w:fill="CCEEFF"/>
          </w:tcPr>
          <w:p>
            <w:pPr>
              <w:ind w:left="3900"/>
              <w:spacing w:after="0"/>
              <w:rPr>
                <w:sz w:val="20"/>
                <w:szCs w:val="20"/>
                <w:color w:val="auto"/>
              </w:rPr>
            </w:pPr>
            <w:r>
              <w:rPr>
                <w:rFonts w:ascii="Times New Roman" w:cs="Times New Roman" w:eastAsia="Times New Roman" w:hAnsi="Times New Roman"/>
                <w:sz w:val="14"/>
                <w:szCs w:val="14"/>
                <w:color w:val="auto"/>
              </w:rPr>
              <w:t>Germany</w:t>
            </w: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Cascade Microtech Singapore Pte, Ltd</w:t>
            </w:r>
          </w:p>
        </w:tc>
        <w:tc>
          <w:tcPr>
            <w:tcW w:w="7500" w:type="dxa"/>
            <w:vAlign w:val="bottom"/>
          </w:tcPr>
          <w:p>
            <w:pPr>
              <w:ind w:left="3900"/>
              <w:spacing w:after="0"/>
              <w:rPr>
                <w:sz w:val="20"/>
                <w:szCs w:val="20"/>
                <w:color w:val="auto"/>
              </w:rPr>
            </w:pPr>
            <w:r>
              <w:rPr>
                <w:rFonts w:ascii="Times New Roman" w:cs="Times New Roman" w:eastAsia="Times New Roman" w:hAnsi="Times New Roman"/>
                <w:sz w:val="14"/>
                <w:szCs w:val="14"/>
                <w:color w:val="auto"/>
              </w:rPr>
              <w:t>Singapore</w:t>
            </w: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FormFactor International (Shanghai) Trading Co., Ltd.</w:t>
            </w:r>
          </w:p>
        </w:tc>
        <w:tc>
          <w:tcPr>
            <w:tcW w:w="7500" w:type="dxa"/>
            <w:vAlign w:val="bottom"/>
            <w:shd w:val="clear" w:color="auto" w:fill="CCEEFF"/>
          </w:tcPr>
          <w:p>
            <w:pPr>
              <w:ind w:left="3900"/>
              <w:spacing w:after="0"/>
              <w:rPr>
                <w:sz w:val="20"/>
                <w:szCs w:val="20"/>
                <w:color w:val="auto"/>
              </w:rPr>
            </w:pPr>
            <w:r>
              <w:rPr>
                <w:rFonts w:ascii="Times New Roman" w:cs="Times New Roman" w:eastAsia="Times New Roman" w:hAnsi="Times New Roman"/>
                <w:sz w:val="14"/>
                <w:szCs w:val="14"/>
                <w:color w:val="auto"/>
              </w:rPr>
              <w:t>People's Republic of China</w:t>
            </w: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Advanced Temperature Test Systems GmbH</w:t>
            </w:r>
          </w:p>
        </w:tc>
        <w:tc>
          <w:tcPr>
            <w:tcW w:w="7500" w:type="dxa"/>
            <w:vAlign w:val="bottom"/>
          </w:tcPr>
          <w:p>
            <w:pPr>
              <w:ind w:left="3900"/>
              <w:spacing w:after="0"/>
              <w:rPr>
                <w:sz w:val="20"/>
                <w:szCs w:val="20"/>
                <w:color w:val="auto"/>
              </w:rPr>
            </w:pPr>
            <w:r>
              <w:rPr>
                <w:rFonts w:ascii="Times New Roman" w:cs="Times New Roman" w:eastAsia="Times New Roman" w:hAnsi="Times New Roman"/>
                <w:sz w:val="14"/>
                <w:szCs w:val="14"/>
                <w:color w:val="auto"/>
              </w:rPr>
              <w:t>Germany</w:t>
            </w: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FormFactor SASU</w:t>
            </w:r>
          </w:p>
        </w:tc>
        <w:tc>
          <w:tcPr>
            <w:tcW w:w="7500" w:type="dxa"/>
            <w:vAlign w:val="bottom"/>
            <w:shd w:val="clear" w:color="auto" w:fill="CCEEFF"/>
          </w:tcPr>
          <w:p>
            <w:pPr>
              <w:ind w:left="3900"/>
              <w:spacing w:after="0"/>
              <w:rPr>
                <w:sz w:val="20"/>
                <w:szCs w:val="20"/>
                <w:color w:val="auto"/>
              </w:rPr>
            </w:pPr>
            <w:r>
              <w:rPr>
                <w:rFonts w:ascii="Times New Roman" w:cs="Times New Roman" w:eastAsia="Times New Roman" w:hAnsi="Times New Roman"/>
                <w:sz w:val="14"/>
                <w:szCs w:val="14"/>
                <w:color w:val="auto"/>
              </w:rPr>
              <w:t>France</w:t>
            </w:r>
          </w:p>
        </w:tc>
      </w:tr>
      <w:tr>
        <w:trPr>
          <w:trHeight w:val="184"/>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High Precision Devices, Inc.</w:t>
            </w:r>
          </w:p>
        </w:tc>
        <w:tc>
          <w:tcPr>
            <w:tcW w:w="7500" w:type="dxa"/>
            <w:vAlign w:val="bottom"/>
          </w:tcPr>
          <w:p>
            <w:pPr>
              <w:ind w:left="3900"/>
              <w:spacing w:after="0"/>
              <w:rPr>
                <w:sz w:val="20"/>
                <w:szCs w:val="20"/>
                <w:color w:val="auto"/>
              </w:rPr>
            </w:pPr>
            <w:r>
              <w:rPr>
                <w:rFonts w:ascii="Times New Roman" w:cs="Times New Roman" w:eastAsia="Times New Roman" w:hAnsi="Times New Roman"/>
                <w:sz w:val="14"/>
                <w:szCs w:val="14"/>
                <w:color w:val="auto"/>
              </w:rPr>
              <w:t>Colorado, United States</w:t>
            </w:r>
          </w:p>
        </w:tc>
      </w:tr>
    </w:tbl>
    <w:p>
      <w:pPr>
        <w:sectPr>
          <w:pgSz w:w="11900" w:h="16838" w:orient="portrait"/>
          <w:cols w:equalWidth="0" w:num="1">
            <w:col w:w="11220"/>
          </w:cols>
          <w:pgMar w:left="360" w:top="1088" w:right="31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(No. 333-198760) on Form S-3 and (Nos. 333-273789, 333-266500, 333-239388, 333-232990, 333-226432, 333-222551, 333-212587, 333-195744, 333-188363, 333-181450, 333-179589, 333-172318, 333-165058, 333-157610, 333-149411, 333-148198, 333-139074, 333-125918, 333-115137, and 333-106043) on Form S-8 of our report dated February 23, 2024, with respect to the consolidated financial statements of FormFactor, Inc. and subsidiaries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Portland, Oregon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23, 2024</w:t>
      </w:r>
    </w:p>
    <w:p>
      <w:pPr>
        <w:sectPr>
          <w:pgSz w:w="11900" w:h="16838" w:orient="portrait"/>
          <w:cols w:equalWidth="0" w:num="1">
            <w:col w:w="11280"/>
          </w:cols>
          <w:pgMar w:left="300" w:top="780" w:right="31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15 U.S.C. SECTION 7241, 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ADOPTED 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D. Slessor, certify that:</w:t>
      </w:r>
    </w:p>
    <w:p>
      <w:pPr>
        <w:spacing w:after="0" w:line="179" w:lineRule="exact"/>
        <w:rPr>
          <w:sz w:val="20"/>
          <w:szCs w:val="20"/>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the Annual Report on Form 10-K of FormFactor, Inc.;</w:t>
      </w:r>
    </w:p>
    <w:p>
      <w:pPr>
        <w:spacing w:after="0" w:line="178" w:lineRule="exact"/>
        <w:rPr>
          <w:rFonts w:ascii="Times New Roman" w:cs="Times New Roman" w:eastAsia="Times New Roman" w:hAnsi="Times New Roman"/>
          <w:sz w:val="14"/>
          <w:szCs w:val="14"/>
          <w:color w:val="auto"/>
        </w:rPr>
      </w:pPr>
    </w:p>
    <w:p>
      <w:pPr>
        <w:ind w:left="520" w:right="160" w:hanging="515"/>
        <w:spacing w:after="0" w:line="287" w:lineRule="auto"/>
        <w:tabs>
          <w:tab w:leader="none" w:pos="25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right="220" w:hanging="515"/>
        <w:spacing w:after="0" w:line="287" w:lineRule="auto"/>
        <w:tabs>
          <w:tab w:leader="none" w:pos="25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right="80" w:hanging="515"/>
        <w:spacing w:after="0" w:line="287" w:lineRule="auto"/>
        <w:tabs>
          <w:tab w:leader="none" w:pos="25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1020" w:right="120" w:hanging="506"/>
        <w:spacing w:after="0" w:line="287" w:lineRule="auto"/>
        <w:tabs>
          <w:tab w:leader="none" w:pos="809"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1020" w:right="180" w:hanging="506"/>
        <w:spacing w:after="0" w:line="287" w:lineRule="auto"/>
        <w:tabs>
          <w:tab w:leader="none" w:pos="817"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1020" w:right="380" w:hanging="506"/>
        <w:spacing w:after="0" w:line="287" w:lineRule="auto"/>
        <w:tabs>
          <w:tab w:leader="none" w:pos="809"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right="60" w:hanging="506"/>
        <w:spacing w:after="0" w:line="287" w:lineRule="auto"/>
        <w:tabs>
          <w:tab w:leader="none" w:pos="817"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right="40" w:hanging="515"/>
        <w:spacing w:after="0" w:line="287" w:lineRule="auto"/>
        <w:tabs>
          <w:tab w:leader="none" w:pos="25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right="80" w:hanging="506"/>
        <w:spacing w:after="0" w:line="287" w:lineRule="auto"/>
        <w:tabs>
          <w:tab w:leader="none" w:pos="801"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41" w:lineRule="exact"/>
        <w:rPr>
          <w:sz w:val="20"/>
          <w:szCs w:val="20"/>
          <w:color w:val="auto"/>
        </w:rPr>
      </w:pPr>
    </w:p>
    <w:p>
      <w:pPr>
        <w:ind w:left="1040"/>
        <w:spacing w:after="0"/>
        <w:tabs>
          <w:tab w:leader="none" w:pos="1720" w:val="left"/>
          <w:tab w:leader="none" w:pos="41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23, 2024</w:t>
      </w:r>
      <w:r>
        <w:rPr>
          <w:sz w:val="20"/>
          <w:szCs w:val="20"/>
          <w:color w:val="auto"/>
        </w:rPr>
        <w:tab/>
      </w:r>
      <w:r>
        <w:rPr>
          <w:rFonts w:ascii="Times New Roman" w:cs="Times New Roman" w:eastAsia="Times New Roman" w:hAnsi="Times New Roman"/>
          <w:sz w:val="14"/>
          <w:szCs w:val="14"/>
          <w:color w:val="auto"/>
        </w:rPr>
        <w:t>/s/ MICHAEL D. SLESSOR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2623820</wp:posOffset>
            </wp:positionH>
            <wp:positionV relativeFrom="paragraph">
              <wp:posOffset>14605</wp:posOffset>
            </wp:positionV>
            <wp:extent cx="349631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3496310" cy="6985"/>
                    </a:xfrm>
                    <a:prstGeom prst="rect">
                      <a:avLst/>
                    </a:prstGeom>
                    <a:noFill/>
                  </pic:spPr>
                </pic:pic>
              </a:graphicData>
            </a:graphic>
          </wp:anchor>
        </w:drawing>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Michael D. Slessor</w:t>
      </w:r>
    </w:p>
    <w:p>
      <w:pPr>
        <w:spacing w:after="0" w:line="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ind w:left="4140"/>
        <w:spacing w:after="0"/>
        <w:rPr>
          <w:sz w:val="20"/>
          <w:szCs w:val="20"/>
          <w:color w:val="auto"/>
        </w:rPr>
      </w:pPr>
      <w:r>
        <w:rPr>
          <w:rFonts w:ascii="Times New Roman" w:cs="Times New Roman" w:eastAsia="Times New Roman" w:hAnsi="Times New Roman"/>
          <w:sz w:val="14"/>
          <w:szCs w:val="14"/>
          <w:i w:val="1"/>
          <w:iCs w:val="1"/>
          <w:color w:val="auto"/>
        </w:rPr>
        <w:t>(Principal Executive Officer and Director)</w:t>
      </w:r>
    </w:p>
    <w:p>
      <w:pPr>
        <w:sectPr>
          <w:pgSz w:w="11900" w:h="16838" w:orient="portrait"/>
          <w:cols w:equalWidth="0" w:num="1">
            <w:col w:w="11280"/>
          </w:cols>
          <w:pgMar w:left="300" w:top="727" w:right="31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15 U.S.C. SECTION 7241,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Shai Shahar, certify that:</w:t>
      </w:r>
    </w:p>
    <w:p>
      <w:pPr>
        <w:spacing w:after="0" w:line="179" w:lineRule="exact"/>
        <w:rPr>
          <w:sz w:val="20"/>
          <w:szCs w:val="20"/>
          <w:color w:val="auto"/>
        </w:rPr>
      </w:pPr>
    </w:p>
    <w:p>
      <w:pPr>
        <w:ind w:left="260" w:hanging="255"/>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the Annual Report on Form 10-K of FormFactor, Inc.;</w:t>
      </w:r>
    </w:p>
    <w:p>
      <w:pPr>
        <w:spacing w:after="0" w:line="178" w:lineRule="exact"/>
        <w:rPr>
          <w:rFonts w:ascii="Times New Roman" w:cs="Times New Roman" w:eastAsia="Times New Roman" w:hAnsi="Times New Roman"/>
          <w:sz w:val="14"/>
          <w:szCs w:val="14"/>
          <w:color w:val="auto"/>
        </w:rPr>
      </w:pPr>
    </w:p>
    <w:p>
      <w:pPr>
        <w:ind w:left="520" w:right="160" w:hanging="515"/>
        <w:spacing w:after="0" w:line="287" w:lineRule="auto"/>
        <w:tabs>
          <w:tab w:leader="none" w:pos="25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right="220" w:hanging="515"/>
        <w:spacing w:after="0" w:line="287" w:lineRule="auto"/>
        <w:tabs>
          <w:tab w:leader="none" w:pos="25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right="80" w:hanging="515"/>
        <w:spacing w:after="0" w:line="287" w:lineRule="auto"/>
        <w:tabs>
          <w:tab w:leader="none" w:pos="25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1020" w:right="120" w:hanging="506"/>
        <w:spacing w:after="0" w:line="287" w:lineRule="auto"/>
        <w:tabs>
          <w:tab w:leader="none" w:pos="809"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1020" w:right="180" w:hanging="506"/>
        <w:spacing w:after="0" w:line="287" w:lineRule="auto"/>
        <w:tabs>
          <w:tab w:leader="none" w:pos="817"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1020" w:right="380" w:hanging="506"/>
        <w:spacing w:after="0" w:line="287" w:lineRule="auto"/>
        <w:tabs>
          <w:tab w:leader="none" w:pos="809"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right="60" w:hanging="506"/>
        <w:spacing w:after="0" w:line="287" w:lineRule="auto"/>
        <w:tabs>
          <w:tab w:leader="none" w:pos="817"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right="40" w:hanging="515"/>
        <w:spacing w:after="0" w:line="287" w:lineRule="auto"/>
        <w:tabs>
          <w:tab w:leader="none" w:pos="25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right="80" w:hanging="506"/>
        <w:spacing w:after="0" w:line="287" w:lineRule="auto"/>
        <w:tabs>
          <w:tab w:leader="none" w:pos="801"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41" w:lineRule="exact"/>
        <w:rPr>
          <w:sz w:val="20"/>
          <w:szCs w:val="20"/>
          <w:color w:val="auto"/>
        </w:rPr>
      </w:pPr>
    </w:p>
    <w:p>
      <w:pPr>
        <w:ind w:left="1040"/>
        <w:spacing w:after="0"/>
        <w:tabs>
          <w:tab w:leader="none" w:pos="1720" w:val="left"/>
          <w:tab w:leader="none" w:pos="41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23, 2024</w:t>
      </w:r>
      <w:r>
        <w:rPr>
          <w:sz w:val="20"/>
          <w:szCs w:val="20"/>
          <w:color w:val="auto"/>
        </w:rPr>
        <w:tab/>
      </w:r>
      <w:r>
        <w:rPr>
          <w:rFonts w:ascii="Times New Roman" w:cs="Times New Roman" w:eastAsia="Times New Roman" w:hAnsi="Times New Roman"/>
          <w:sz w:val="14"/>
          <w:szCs w:val="14"/>
          <w:color w:val="auto"/>
        </w:rPr>
        <w:t>/s/ SHAI SHAHAR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2623820</wp:posOffset>
            </wp:positionH>
            <wp:positionV relativeFrom="paragraph">
              <wp:posOffset>14605</wp:posOffset>
            </wp:positionV>
            <wp:extent cx="349631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3496310" cy="6985"/>
                    </a:xfrm>
                    <a:prstGeom prst="rect">
                      <a:avLst/>
                    </a:prstGeom>
                    <a:noFill/>
                  </pic:spPr>
                </pic:pic>
              </a:graphicData>
            </a:graphic>
          </wp:anchor>
        </w:drawing>
      </w:r>
    </w:p>
    <w:p>
      <w:pPr>
        <w:spacing w:after="0" w:line="1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Shai Shahar</w:t>
      </w:r>
    </w:p>
    <w:p>
      <w:pPr>
        <w:spacing w:after="0" w:line="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ind w:left="414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p>
    <w:p>
      <w:pPr>
        <w:sectPr>
          <w:pgSz w:w="11900" w:h="16838" w:orient="portrait"/>
          <w:cols w:equalWidth="0" w:num="1">
            <w:col w:w="11280"/>
          </w:cols>
          <w:pgMar w:left="300" w:top="727" w:right="31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164" w:lineRule="exact"/>
        <w:rPr>
          <w:sz w:val="20"/>
          <w:szCs w:val="20"/>
          <w:color w:val="auto"/>
        </w:rPr>
      </w:pPr>
    </w:p>
    <w:p>
      <w:pPr>
        <w:ind w:right="300" w:firstLine="509"/>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of FormFactor, Inc., a Delaware corporation, for the period ended December 30, 2023, as filed with the Securities and Exchange Commission, each of the undersigned officers of FormFactor, Inc. certifies pursuant to 18 U.S.C. Section 1350, as adopted pursuant to Section 906 of the Sarbanes-Oxley Act of 2002, that, to his respective knowledge:</w:t>
      </w:r>
    </w:p>
    <w:p>
      <w:pPr>
        <w:spacing w:after="0" w:line="136" w:lineRule="exact"/>
        <w:rPr>
          <w:sz w:val="20"/>
          <w:szCs w:val="20"/>
          <w:color w:val="auto"/>
        </w:rPr>
      </w:pPr>
    </w:p>
    <w:p>
      <w:pPr>
        <w:ind w:left="820" w:hanging="306"/>
        <w:spacing w:after="0"/>
        <w:tabs>
          <w:tab w:leader="none" w:pos="8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annual report fairly presents, in all material respects, the financial condition and results of operations of FormFactor, Inc. for the periods presented</w:t>
      </w:r>
    </w:p>
    <w:p>
      <w:pPr>
        <w:spacing w:after="0" w:line="41" w:lineRule="exact"/>
        <w:rPr>
          <w:sz w:val="20"/>
          <w:szCs w:val="20"/>
          <w:color w:val="auto"/>
        </w:rPr>
      </w:pPr>
    </w:p>
    <w:p>
      <w:pPr>
        <w:ind w:left="1460"/>
        <w:spacing w:after="0"/>
        <w:tabs>
          <w:tab w:leader="none" w:pos="2140" w:val="left"/>
          <w:tab w:leader="none" w:pos="456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23, 2024</w:t>
      </w:r>
      <w:r>
        <w:rPr>
          <w:sz w:val="20"/>
          <w:szCs w:val="20"/>
          <w:color w:val="auto"/>
        </w:rPr>
        <w:tab/>
      </w:r>
      <w:r>
        <w:rPr>
          <w:rFonts w:ascii="Times New Roman" w:cs="Times New Roman" w:eastAsia="Times New Roman" w:hAnsi="Times New Roman"/>
          <w:sz w:val="14"/>
          <w:szCs w:val="14"/>
          <w:color w:val="auto"/>
        </w:rPr>
        <w:t>/s/ MICHAEL D. SLESSOR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14605</wp:posOffset>
            </wp:positionV>
            <wp:extent cx="349631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3496310" cy="6985"/>
                    </a:xfrm>
                    <a:prstGeom prst="rect">
                      <a:avLst/>
                    </a:prstGeom>
                    <a:noFill/>
                  </pic:spPr>
                </pic:pic>
              </a:graphicData>
            </a:graphic>
          </wp:anchor>
        </w:drawing>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Michael D. Slessor</w:t>
      </w:r>
    </w:p>
    <w:p>
      <w:pPr>
        <w:spacing w:after="0" w:line="1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ind w:left="4580"/>
        <w:spacing w:after="0"/>
        <w:rPr>
          <w:sz w:val="20"/>
          <w:szCs w:val="20"/>
          <w:color w:val="auto"/>
        </w:rPr>
      </w:pPr>
      <w:r>
        <w:rPr>
          <w:rFonts w:ascii="Times New Roman" w:cs="Times New Roman" w:eastAsia="Times New Roman" w:hAnsi="Times New Roman"/>
          <w:sz w:val="14"/>
          <w:szCs w:val="14"/>
          <w:i w:val="1"/>
          <w:iCs w:val="1"/>
          <w:color w:val="auto"/>
        </w:rPr>
        <w:t>(Principal Executive Officer and Director)</w:t>
      </w:r>
    </w:p>
    <w:p>
      <w:pPr>
        <w:spacing w:after="0" w:line="216" w:lineRule="exact"/>
        <w:rPr>
          <w:sz w:val="20"/>
          <w:szCs w:val="20"/>
          <w:color w:val="auto"/>
        </w:rPr>
      </w:pPr>
    </w:p>
    <w:p>
      <w:pPr>
        <w:ind w:left="1460"/>
        <w:spacing w:after="0"/>
        <w:tabs>
          <w:tab w:leader="none" w:pos="2140" w:val="left"/>
          <w:tab w:leader="none" w:pos="456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23, 2024</w:t>
      </w:r>
      <w:r>
        <w:rPr>
          <w:sz w:val="20"/>
          <w:szCs w:val="20"/>
          <w:color w:val="auto"/>
        </w:rPr>
        <w:tab/>
      </w:r>
      <w:r>
        <w:rPr>
          <w:rFonts w:ascii="Times New Roman" w:cs="Times New Roman" w:eastAsia="Times New Roman" w:hAnsi="Times New Roman"/>
          <w:sz w:val="13"/>
          <w:szCs w:val="13"/>
          <w:color w:val="auto"/>
        </w:rPr>
        <w:t>/s/ SHAI SHAHAR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14605</wp:posOffset>
            </wp:positionV>
            <wp:extent cx="349631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3496310" cy="6985"/>
                    </a:xfrm>
                    <a:prstGeom prst="rect">
                      <a:avLst/>
                    </a:prstGeom>
                    <a:noFill/>
                  </pic:spPr>
                </pic:pic>
              </a:graphicData>
            </a:graphic>
          </wp:anchor>
        </w:drawing>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Shai Shahar</w:t>
      </w:r>
    </w:p>
    <w:p>
      <w:pPr>
        <w:spacing w:after="0" w:line="1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ind w:left="4580"/>
        <w:spacing w:after="0" w:line="181" w:lineRule="auto"/>
        <w:rPr>
          <w:sz w:val="20"/>
          <w:szCs w:val="20"/>
          <w:color w:val="auto"/>
        </w:rPr>
      </w:pPr>
      <w:r>
        <w:rPr>
          <w:rFonts w:ascii="Times New Roman" w:cs="Times New Roman" w:eastAsia="Times New Roman" w:hAnsi="Times New Roman"/>
          <w:sz w:val="11"/>
          <w:szCs w:val="11"/>
          <w:i w:val="1"/>
          <w:iCs w:val="1"/>
          <w:color w:val="auto"/>
        </w:rPr>
        <w:t>(Principal Financial Officer and Principal Accounting Officer)</w:t>
      </w:r>
    </w:p>
    <w:p>
      <w:pPr>
        <w:ind w:left="1020"/>
        <w:spacing w:after="0"/>
        <w:rPr>
          <w:sz w:val="20"/>
          <w:szCs w:val="20"/>
          <w:color w:val="auto"/>
        </w:rPr>
      </w:pPr>
      <w:r>
        <w:rPr>
          <w:rFonts w:ascii="Times New Roman" w:cs="Times New Roman" w:eastAsia="Times New Roman" w:hAnsi="Times New Roman"/>
          <w:sz w:val="14"/>
          <w:szCs w:val="14"/>
          <w:color w:val="auto"/>
        </w:rPr>
        <w:t>therein.</w:t>
      </w:r>
    </w:p>
    <w:p>
      <w:pPr>
        <w:sectPr>
          <w:pgSz w:w="11900" w:h="16838" w:orient="portrait"/>
          <w:cols w:equalWidth="0" w:num="1">
            <w:col w:w="11280"/>
          </w:cols>
          <w:pgMar w:left="300" w:top="802" w:right="319" w:bottom="1440"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3"/>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lowerRoman"/>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80" Type="http://schemas.openxmlformats.org/officeDocument/2006/relationships/image" Target="media/image50.png"/><Relationship Id="rId92" Type="http://schemas.openxmlformats.org/officeDocument/2006/relationships/image" Target="media/image51.png"/><Relationship Id="rId93" Type="http://schemas.openxmlformats.org/officeDocument/2006/relationships/image" Target="media/image52.png"/><Relationship Id="rId94" Type="http://schemas.openxmlformats.org/officeDocument/2006/relationships/image" Target="media/image53.png"/><Relationship Id="rId95" Type="http://schemas.openxmlformats.org/officeDocument/2006/relationships/image" Target="media/image54.png"/><Relationship Id="rId96" Type="http://schemas.openxmlformats.org/officeDocument/2006/relationships/image" Target="media/image55.png"/><Relationship Id="rId97" Type="http://schemas.openxmlformats.org/officeDocument/2006/relationships/image" Target="media/image56.png"/><Relationship Id="rId98" Type="http://schemas.openxmlformats.org/officeDocument/2006/relationships/image" Target="media/image57.png"/><Relationship Id="rId99" Type="http://schemas.openxmlformats.org/officeDocument/2006/relationships/image" Target="media/image58.png"/><Relationship Id="rId100" Type="http://schemas.openxmlformats.org/officeDocument/2006/relationships/image" Target="media/image59.png"/><Relationship Id="rId101" Type="http://schemas.openxmlformats.org/officeDocument/2006/relationships/image" Target="media/image60.png"/><Relationship Id="rId102" Type="http://schemas.openxmlformats.org/officeDocument/2006/relationships/image" Target="media/image61.png"/><Relationship Id="rId103" Type="http://schemas.openxmlformats.org/officeDocument/2006/relationships/image" Target="media/image62.png"/><Relationship Id="rId104" Type="http://schemas.openxmlformats.org/officeDocument/2006/relationships/image" Target="media/image63.png"/><Relationship Id="rId105" Type="http://schemas.openxmlformats.org/officeDocument/2006/relationships/image" Target="media/image64.png"/><Relationship Id="rId106" Type="http://schemas.openxmlformats.org/officeDocument/2006/relationships/image" Target="media/image65.png"/><Relationship Id="rId107" Type="http://schemas.openxmlformats.org/officeDocument/2006/relationships/image" Target="media/image66.png"/><Relationship Id="rId108" Type="http://schemas.openxmlformats.org/officeDocument/2006/relationships/image" Target="media/image67.png"/><Relationship Id="rId109" Type="http://schemas.openxmlformats.org/officeDocument/2006/relationships/image" Target="media/image68.png"/><Relationship Id="rId110" Type="http://schemas.openxmlformats.org/officeDocument/2006/relationships/image" Target="media/image69.png"/><Relationship Id="rId111" Type="http://schemas.openxmlformats.org/officeDocument/2006/relationships/image" Target="media/image70.png"/><Relationship Id="rId112" Type="http://schemas.openxmlformats.org/officeDocument/2006/relationships/image" Target="media/image71.png"/><Relationship Id="rId113" Type="http://schemas.openxmlformats.org/officeDocument/2006/relationships/image" Target="media/image72.png"/><Relationship Id="rId114" Type="http://schemas.openxmlformats.org/officeDocument/2006/relationships/image" Target="media/image73.png"/><Relationship Id="rId115" Type="http://schemas.openxmlformats.org/officeDocument/2006/relationships/image" Target="media/image74.png"/><Relationship Id="rId116" Type="http://schemas.openxmlformats.org/officeDocument/2006/relationships/image" Target="media/image75.png"/><Relationship Id="rId117" Type="http://schemas.openxmlformats.org/officeDocument/2006/relationships/image" Target="media/image76.png"/><Relationship Id="rId118" Type="http://schemas.openxmlformats.org/officeDocument/2006/relationships/image" Target="media/image77.png"/><Relationship Id="rId119" Type="http://schemas.openxmlformats.org/officeDocument/2006/relationships/image" Target="media/image78.png"/><Relationship Id="rId120" Type="http://schemas.openxmlformats.org/officeDocument/2006/relationships/image" Target="media/image79.png"/><Relationship Id="rId121" Type="http://schemas.openxmlformats.org/officeDocument/2006/relationships/image" Target="media/image80.png"/><Relationship Id="rId122" Type="http://schemas.openxmlformats.org/officeDocument/2006/relationships/image" Target="media/image81.png"/><Relationship Id="rId123" Type="http://schemas.openxmlformats.org/officeDocument/2006/relationships/image" Target="media/image82.png"/><Relationship Id="rId124" Type="http://schemas.openxmlformats.org/officeDocument/2006/relationships/image" Target="media/image83.png"/><Relationship Id="rId125" Type="http://schemas.openxmlformats.org/officeDocument/2006/relationships/image" Target="media/image84.png"/><Relationship Id="rId126" Type="http://schemas.openxmlformats.org/officeDocument/2006/relationships/image" Target="media/image85.png"/><Relationship Id="rId127" Type="http://schemas.openxmlformats.org/officeDocument/2006/relationships/image" Target="media/image86.png"/><Relationship Id="rId128" Type="http://schemas.openxmlformats.org/officeDocument/2006/relationships/image" Target="media/image87.png"/><Relationship Id="rId129" Type="http://schemas.openxmlformats.org/officeDocument/2006/relationships/image" Target="media/image88.png"/><Relationship Id="rId130" Type="http://schemas.openxmlformats.org/officeDocument/2006/relationships/image" Target="media/image89.png"/><Relationship Id="rId131" Type="http://schemas.openxmlformats.org/officeDocument/2006/relationships/image" Target="media/image90.png"/><Relationship Id="rId132" Type="http://schemas.openxmlformats.org/officeDocument/2006/relationships/image" Target="media/image91.png"/><Relationship Id="rId133" Type="http://schemas.openxmlformats.org/officeDocument/2006/relationships/image" Target="media/image92.png"/><Relationship Id="rId134" Type="http://schemas.openxmlformats.org/officeDocument/2006/relationships/image" Target="media/image93.png"/><Relationship Id="rId135" Type="http://schemas.openxmlformats.org/officeDocument/2006/relationships/image" Target="media/image94.png"/><Relationship Id="rId136" Type="http://schemas.openxmlformats.org/officeDocument/2006/relationships/image" Target="media/image95.png"/><Relationship Id="rId137" Type="http://schemas.openxmlformats.org/officeDocument/2006/relationships/image" Target="media/image96.png"/><Relationship Id="rId138" Type="http://schemas.openxmlformats.org/officeDocument/2006/relationships/image" Target="media/image97.png"/><Relationship Id="rId139" Type="http://schemas.openxmlformats.org/officeDocument/2006/relationships/image" Target="media/image98.png"/><Relationship Id="rId140" Type="http://schemas.openxmlformats.org/officeDocument/2006/relationships/image" Target="media/image99.png"/><Relationship Id="rId141" Type="http://schemas.openxmlformats.org/officeDocument/2006/relationships/image" Target="media/image100.png"/><Relationship Id="rId142" Type="http://schemas.openxmlformats.org/officeDocument/2006/relationships/image" Target="media/image101.png"/><Relationship Id="rId143" Type="http://schemas.openxmlformats.org/officeDocument/2006/relationships/image" Target="media/image102.png"/><Relationship Id="rId144"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56"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57" Type="http://schemas.openxmlformats.org/officeDocument/2006/relationships/hyperlink" Target="https://www.sec.gov/Archives/edgar/data/1039399/000103939922000060/certificateofamendmentof.htm" TargetMode="External"/><Relationship Id="rId58" Type="http://schemas.openxmlformats.org/officeDocument/2006/relationships/hyperlink" Target="https://www.sec.gov/Archives/edgar/data/1039399/000103939922000060/restatedcertificateofinc.htm" TargetMode="External"/><Relationship Id="rId59" Type="http://schemas.openxmlformats.org/officeDocument/2006/relationships/hyperlink" Target="https://www.sec.gov/Archives/edgar/data/1039399/000103939922000060/amendedandrestatedbylaws_e.htm" TargetMode="External"/><Relationship Id="rId60" Type="http://schemas.openxmlformats.org/officeDocument/2006/relationships/hyperlink" Target="https://www.sec.gov/Archives/edgar/data/1039399/000089161802002592/f80848a2ex4-01.txt" TargetMode="External"/><Relationship Id="rId61" Type="http://schemas.openxmlformats.org/officeDocument/2006/relationships/hyperlink" Target="https://www.sec.gov/Archives/edgar/data/1039399/000103939921000009/exhibit42.htm" TargetMode="External"/><Relationship Id="rId62" Type="http://schemas.openxmlformats.org/officeDocument/2006/relationships/hyperlink" Target="http://www.sec.gov/Archives/edgar/data/1039399/000089161802002592/f80848a2ex10-01.txt" TargetMode="External"/><Relationship Id="rId63" Type="http://schemas.openxmlformats.org/officeDocument/2006/relationships/hyperlink" Target="https://www.sec.gov/Archives/edgar/data/1039399/000103939922000070/exhibit10.htm" TargetMode="External"/><Relationship Id="rId64" Type="http://schemas.openxmlformats.org/officeDocument/2006/relationships/hyperlink" Target="https://www.sec.gov/Archives/edgar/data/1039399/000114036122014333/ny20001965x2_def14a.htm" TargetMode="External"/><Relationship Id="rId65" Type="http://schemas.openxmlformats.org/officeDocument/2006/relationships/hyperlink" Target="https://www.sec.gov/Archives/edgar/data/1039399/000114036123016208/ny20007045_def14a.htm" TargetMode="External"/><Relationship Id="rId66" Type="http://schemas.openxmlformats.org/officeDocument/2006/relationships/hyperlink" Target="https://www.sec.gov/Archives/edgar/data/1039399/000089161803002922/f80848a8exv10w18.txt" TargetMode="External"/><Relationship Id="rId67" Type="http://schemas.openxmlformats.org/officeDocument/2006/relationships/hyperlink" Target="https://www.sec.gov/Archives/edgar/data/1039399/000089161803002329/f80848a5exv10w18w1.txt" TargetMode="External"/><Relationship Id="rId68" Type="http://schemas.openxmlformats.org/officeDocument/2006/relationships/hyperlink" Target="https://www.sec.gov/Archives/edgar/data/1039399/000089161803002922/f80848a8exv10w19.txt" TargetMode="External"/><Relationship Id="rId69" Type="http://schemas.openxmlformats.org/officeDocument/2006/relationships/hyperlink" Target="https://www.sec.gov/Archives/edgar/data/1039399/000089161803002329/f80848a5exv10w19w1.txt" TargetMode="External"/><Relationship Id="rId70" Type="http://schemas.openxmlformats.org/officeDocument/2006/relationships/hyperlink" Target="https://www.sec.gov/Archives/edgar/data/1039399/000089161803002922/f80848a8exv10w20.txt" TargetMode="External"/><Relationship Id="rId71" Type="http://schemas.openxmlformats.org/officeDocument/2006/relationships/hyperlink" Target="http://www.sec.gov/Archives/edgar/data/1039399/000089161803002329/f80848a5exv10w20w1.txt" TargetMode="External"/><Relationship Id="rId72" Type="http://schemas.openxmlformats.org/officeDocument/2006/relationships/hyperlink" Target="https://www.sec.gov/Archives/edgar/data/1039399/000095010316018924/dp71253_ex1002.htm" TargetMode="External"/><Relationship Id="rId73" Type="http://schemas.openxmlformats.org/officeDocument/2006/relationships/hyperlink" Target="http://www.sec.gov/Archives/edgar/data/1039399/000110465906072261/a06-22087_1ex10d01.htm" TargetMode="External"/><Relationship Id="rId74" Type="http://schemas.openxmlformats.org/officeDocument/2006/relationships/hyperlink" Target="https://www.sec.gov/Archives/edgar/data/1039399/000095010316018924/dp71253_ex1001.htm" TargetMode="External"/><Relationship Id="rId75" Type="http://schemas.openxmlformats.org/officeDocument/2006/relationships/hyperlink" Target="http://www.sec.gov/Archives/edgar/data/1039399/000095010318011502/dp96325_ex1001.htm" TargetMode="External"/><Relationship Id="rId76" Type="http://schemas.openxmlformats.org/officeDocument/2006/relationships/hyperlink" Target="http://www.sec.gov/Archives/edgar/data/1039399/000095010318011502/dp96325_ex1002.htm" TargetMode="External"/><Relationship Id="rId77" Type="http://schemas.openxmlformats.org/officeDocument/2006/relationships/hyperlink" Target="https://www.sec.gov/Archives/edgar/data/864559/000119312511217810/dex103.htm" TargetMode="External"/><Relationship Id="rId78" Type="http://schemas.openxmlformats.org/officeDocument/2006/relationships/hyperlink" Target="https://www.sec.gov/Archives/edgar/data/864559/000119312514191926/d697159dex101.htm" TargetMode="External"/><Relationship Id="rId79" Type="http://schemas.openxmlformats.org/officeDocument/2006/relationships/hyperlink" Target="https://www.sec.gov/Archives/edgar/data/864559/000119312513206605/d500848dex102.htm" TargetMode="External"/><Relationship Id="rId81" Type="http://schemas.openxmlformats.org/officeDocument/2006/relationships/hyperlink" Target="https://www.sec.gov/Archives/edgar/data/864559/000119312514191926/d697159dex102.htm" TargetMode="External"/><Relationship Id="rId82" Type="http://schemas.openxmlformats.org/officeDocument/2006/relationships/hyperlink" Target="https://www.sec.gov/Archives/edgar/data/864559/000119312514191926/d697159dex103.htm" TargetMode="External"/><Relationship Id="rId83" Type="http://schemas.openxmlformats.org/officeDocument/2006/relationships/hyperlink" Target="https://www.sec.gov/Archives/edgar/data/864559/000119312516495423/d38018dex1022.htm" TargetMode="External"/><Relationship Id="rId84" Type="http://schemas.openxmlformats.org/officeDocument/2006/relationships/hyperlink" Target="https://www.sec.gov/Archives/edgar/data/864559/000119312516495423/d38018dex1023.htm" TargetMode="External"/><Relationship Id="rId85" Type="http://schemas.openxmlformats.org/officeDocument/2006/relationships/hyperlink" Target="https://www.sec.gov/Archives/edgar/data/1039399/000103939923000010/form-ex1035x20221231x10k.htm" TargetMode="External"/><Relationship Id="rId86" Type="http://schemas.openxmlformats.org/officeDocument/2006/relationships/hyperlink" Target="https://www.sec.gov/Archives/edgar/data/1039399/000103939923000010/form-ex1036x20221231x10k.htm" TargetMode="External"/><Relationship Id="rId87" Type="http://schemas.openxmlformats.org/officeDocument/2006/relationships/hyperlink" Target="http://www.sec.gov/Archives/edgar/data/1039399/000144530513000585/form-20121229xex1019.htm" TargetMode="External"/><Relationship Id="rId88" Type="http://schemas.openxmlformats.org/officeDocument/2006/relationships/hyperlink" Target="https://www.sec.gov/Archives/edgar/data/1039399/000103939922000070/exhibit103_ceochangeofcont.htm" TargetMode="External"/><Relationship Id="rId89" Type="http://schemas.openxmlformats.org/officeDocument/2006/relationships/hyperlink" Target="http://www.sec.gov/Archives/edgar/data/1039399/000103939918000028/q12018exhibit-1001.htm" TargetMode="External"/><Relationship Id="rId90" Type="http://schemas.openxmlformats.org/officeDocument/2006/relationships/hyperlink" Target="https://www.sec.gov/Archives/edgar/data/1039399/000103939922000070/exhibit102_executivechange.htm" TargetMode="External"/><Relationship Id="rId91" Type="http://schemas.openxmlformats.org/officeDocument/2006/relationships/hyperlink" Target="https://www.sec.gov/Archives/edgar/data/1039399/000103939923000049/formq323exh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2024-02-23T15:30:25Z</dcterms:created>
  <dcterms:modified xsi:type="dcterms:W3CDTF">2024-02-23T15:30:25Z</dcterms:modified>
</cp:coreProperties>
</file>