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1"/>
          <w:szCs w:val="11"/>
          <w:b w:val="1"/>
          <w:bCs w:val="1"/>
          <w:color w:val="auto"/>
        </w:rPr>
        <w:t>____________________________</w:t>
      </w:r>
    </w:p>
    <w:p>
      <w:pPr>
        <w:spacing w:after="0" w:line="2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Date of report (Date of earliest event reported): October 28, 2026</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FORMFACTOR, INC.</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256" w:lineRule="exact"/>
        <w:rPr>
          <w:sz w:val="24"/>
          <w:szCs w:val="24"/>
          <w:color w:val="auto"/>
        </w:rPr>
      </w:pPr>
    </w:p>
    <w:tbl>
      <w:tblPr>
        <w:tblLayout w:type="fixed"/>
        <w:tblInd w:w="620" w:type="dxa"/>
        <w:tblCellMar>
          <w:top w:w="0" w:type="dxa"/>
          <w:left w:w="0" w:type="dxa"/>
          <w:bottom w:w="0" w:type="dxa"/>
          <w:right w:w="0" w:type="dxa"/>
        </w:tblCellMar>
      </w:tblPr>
      <w:tr>
        <w:trPr>
          <w:trHeight w:val="212"/>
        </w:trPr>
        <w:tc>
          <w:tcPr>
            <w:tcW w:w="3500" w:type="dxa"/>
            <w:vAlign w:val="bottom"/>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60" w:type="dxa"/>
            <w:vAlign w:val="bottom"/>
          </w:tcPr>
          <w:p>
            <w:pPr>
              <w:jc w:val="right"/>
              <w:ind w:right="1239"/>
              <w:spacing w:after="0"/>
              <w:rPr>
                <w:sz w:val="20"/>
                <w:szCs w:val="20"/>
                <w:color w:val="auto"/>
              </w:rPr>
            </w:pPr>
            <w:r>
              <w:rPr>
                <w:rFonts w:ascii="Times New Roman" w:cs="Times New Roman" w:eastAsia="Times New Roman" w:hAnsi="Times New Roman"/>
                <w:sz w:val="16"/>
                <w:szCs w:val="16"/>
                <w:b w:val="1"/>
                <w:bCs w:val="1"/>
                <w:color w:val="auto"/>
              </w:rPr>
              <w:t>000-50307</w:t>
            </w:r>
          </w:p>
        </w:tc>
        <w:tc>
          <w:tcPr>
            <w:tcW w:w="300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13-3711155</w:t>
            </w:r>
          </w:p>
        </w:tc>
      </w:tr>
      <w:tr>
        <w:trPr>
          <w:trHeight w:val="229"/>
        </w:trPr>
        <w:tc>
          <w:tcPr>
            <w:tcW w:w="350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31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(Commission File Number)</w:t>
            </w:r>
          </w:p>
        </w:tc>
        <w:tc>
          <w:tcPr>
            <w:tcW w:w="300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500"/>
        </w:trPr>
        <w:tc>
          <w:tcPr>
            <w:tcW w:w="3500" w:type="dxa"/>
            <w:vAlign w:val="bottom"/>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7005 Southfront Road</w:t>
            </w:r>
          </w:p>
        </w:tc>
        <w:tc>
          <w:tcPr>
            <w:tcW w:w="31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70"/>
        </w:trPr>
        <w:tc>
          <w:tcPr>
            <w:tcW w:w="350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Livermore, CA</w:t>
            </w:r>
          </w:p>
        </w:tc>
        <w:tc>
          <w:tcPr>
            <w:tcW w:w="3160" w:type="dxa"/>
            <w:vAlign w:val="bottom"/>
          </w:tcPr>
          <w:p>
            <w:pPr>
              <w:spacing w:after="0"/>
              <w:rPr>
                <w:sz w:val="23"/>
                <w:szCs w:val="23"/>
                <w:color w:val="auto"/>
              </w:rPr>
            </w:pPr>
          </w:p>
        </w:tc>
        <w:tc>
          <w:tcPr>
            <w:tcW w:w="300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94551</w:t>
            </w:r>
          </w:p>
        </w:tc>
      </w:tr>
      <w:tr>
        <w:trPr>
          <w:trHeight w:val="229"/>
        </w:trPr>
        <w:tc>
          <w:tcPr>
            <w:tcW w:w="350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160" w:type="dxa"/>
            <w:vAlign w:val="bottom"/>
          </w:tcPr>
          <w:p>
            <w:pPr>
              <w:spacing w:after="0"/>
              <w:rPr>
                <w:sz w:val="19"/>
                <w:szCs w:val="19"/>
                <w:color w:val="auto"/>
              </w:rPr>
            </w:pPr>
          </w:p>
        </w:tc>
        <w:tc>
          <w:tcPr>
            <w:tcW w:w="300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3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(925) 290-4000</w:t>
      </w:r>
    </w:p>
    <w:p>
      <w:pPr>
        <w:spacing w:after="0" w:line="20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_____________________________</w:t>
      </w:r>
    </w:p>
    <w:p>
      <w:pPr>
        <w:spacing w:after="0" w:line="200" w:lineRule="exact"/>
        <w:rPr>
          <w:sz w:val="24"/>
          <w:szCs w:val="24"/>
          <w:color w:val="auto"/>
        </w:rPr>
      </w:pPr>
    </w:p>
    <w:p>
      <w:pPr>
        <w:spacing w:after="0" w:line="206" w:lineRule="exact"/>
        <w:rPr>
          <w:sz w:val="24"/>
          <w:szCs w:val="24"/>
          <w:color w:val="auto"/>
        </w:rPr>
      </w:pPr>
    </w:p>
    <w:p>
      <w:pPr>
        <w:ind w:firstLine="324"/>
        <w:spacing w:after="0" w:line="280"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51"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680" w:hanging="348"/>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680" w:hanging="348"/>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07" w:lineRule="exact"/>
        <w:rPr>
          <w:rFonts w:ascii="MS PGothic" w:cs="MS PGothic" w:eastAsia="MS PGothic" w:hAnsi="MS PGothic"/>
          <w:sz w:val="16"/>
          <w:szCs w:val="16"/>
          <w:color w:val="auto"/>
        </w:rPr>
      </w:pPr>
    </w:p>
    <w:p>
      <w:pPr>
        <w:ind w:left="680" w:hanging="348"/>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9" w:lineRule="exact"/>
        <w:rPr>
          <w:sz w:val="24"/>
          <w:szCs w:val="24"/>
          <w:color w:val="auto"/>
        </w:rPr>
      </w:pPr>
    </w:p>
    <w:tbl>
      <w:tblPr>
        <w:tblLayout w:type="fixed"/>
        <w:tblInd w:w="96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678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r>
      <w:tr>
        <w:trPr>
          <w:trHeight w:val="259"/>
        </w:trPr>
        <w:tc>
          <w:tcPr>
            <w:tcW w:w="282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0" w:type="dxa"/>
            <w:vAlign w:val="bottom"/>
            <w:tcBorders>
              <w:bottom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40" w:type="dxa"/>
            <w:vAlign w:val="bottom"/>
          </w:tcPr>
          <w:p>
            <w:pPr>
              <w:spacing w:after="0"/>
              <w:rPr>
                <w:sz w:val="22"/>
                <w:szCs w:val="22"/>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0"/>
        </w:trPr>
        <w:tc>
          <w:tcPr>
            <w:tcW w:w="282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1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FORM</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384" w:lineRule="exact"/>
        <w:rPr>
          <w:sz w:val="24"/>
          <w:szCs w:val="24"/>
          <w:color w:val="auto"/>
        </w:rPr>
      </w:pPr>
    </w:p>
    <w:p>
      <w:pPr>
        <w:ind w:right="140" w:firstLine="364"/>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273" w:lineRule="exact"/>
        <w:rPr>
          <w:sz w:val="24"/>
          <w:szCs w:val="24"/>
          <w:color w:val="auto"/>
        </w:rPr>
      </w:pPr>
    </w:p>
    <w:p>
      <w:pPr>
        <w:ind w:left="680" w:hanging="348"/>
        <w:spacing w:after="0"/>
        <w:tabs>
          <w:tab w:leader="none" w:pos="6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Emerging growth company</w:t>
      </w:r>
    </w:p>
    <w:p>
      <w:pPr>
        <w:spacing w:after="0" w:line="248" w:lineRule="exact"/>
        <w:rPr>
          <w:rFonts w:ascii="MS PGothic" w:cs="MS PGothic" w:eastAsia="MS PGothic" w:hAnsi="MS PGothic"/>
          <w:sz w:val="16"/>
          <w:szCs w:val="16"/>
          <w:color w:val="auto"/>
        </w:rPr>
      </w:pPr>
    </w:p>
    <w:p>
      <w:pPr>
        <w:ind w:right="440" w:firstLine="332"/>
        <w:spacing w:after="0" w:line="298" w:lineRule="auto"/>
        <w:tabs>
          <w:tab w:leader="none" w:pos="63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666115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8"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28, 2026, FormFactor, Inc. (“FormFactor”) issued a press release announcing its financial results for the third quarter of fiscal 2026 that ended on September 26, 2026. A copy of the press release is furnished as Exhibit 99.01 to this report and is incorporated herein by reference.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information and the accompanying Exhibit 99.01 shall not be incorporated by reference into any filing of FormFactor with the Securities and Exchange Commission, whether made before or after the date hereof, regardless of any general incorporation language in such filing, unless expressly incorporated by specific reference in such filing. This information, including the accompanying exhibit, shall not be deemed to be “filed” for purposes of Section 18 of the Securities Exchange Act of 1934, as amended, or otherwise subject to the liabilities of that section or Sections 11 and 12(a)(2)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689610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herewith and this list is intended to constitute the exhibit 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2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8"/>
              </w:rPr>
              <w:t>99.</w:t>
            </w:r>
            <w:r>
              <w:rPr>
                <w:rFonts w:ascii="Times New Roman" w:cs="Times New Roman" w:eastAsia="Times New Roman" w:hAnsi="Times New Roman"/>
                <w:sz w:val="18"/>
                <w:szCs w:val="18"/>
                <w:u w:val="single" w:color="auto"/>
                <w:color w:val="0000FF"/>
                <w:w w:val="98"/>
              </w:rPr>
              <w:t>01</w:t>
            </w:r>
          </w:p>
        </w:tc>
        <w:tc>
          <w:tcPr>
            <w:tcW w:w="1180" w:type="dxa"/>
            <w:vAlign w:val="bottom"/>
          </w:tcPr>
          <w:p>
            <w:pPr>
              <w:spacing w:after="0"/>
              <w:rPr>
                <w:sz w:val="17"/>
                <w:szCs w:val="17"/>
                <w:color w:val="auto"/>
              </w:rPr>
            </w:pPr>
          </w:p>
        </w:tc>
        <w:tc>
          <w:tcPr>
            <w:tcW w:w="962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Press Release dated October 28, 2026</w:t>
            </w:r>
          </w:p>
        </w:tc>
      </w:tr>
      <w:tr>
        <w:trPr>
          <w:trHeight w:val="264"/>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180" w:type="dxa"/>
            <w:vAlign w:val="bottom"/>
          </w:tcPr>
          <w:p>
            <w:pPr>
              <w:spacing w:after="0"/>
              <w:rPr>
                <w:sz w:val="22"/>
                <w:szCs w:val="22"/>
                <w:color w:val="auto"/>
              </w:rPr>
            </w:pPr>
          </w:p>
        </w:tc>
        <w:tc>
          <w:tcPr>
            <w:tcW w:w="9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681"/>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56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FORMFACTOR, INC.</w:t>
            </w:r>
          </w:p>
        </w:tc>
      </w:tr>
      <w:tr>
        <w:trPr>
          <w:trHeight w:val="75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756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By:   /s/ ARIC MCKINNIS</w:t>
            </w:r>
          </w:p>
        </w:tc>
      </w:tr>
      <w:tr>
        <w:trPr>
          <w:trHeight w:val="237"/>
        </w:trPr>
        <w:tc>
          <w:tcPr>
            <w:tcW w:w="36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Aric McKinnis</w:t>
            </w:r>
          </w:p>
        </w:tc>
      </w:tr>
      <w:tr>
        <w:trPr>
          <w:trHeight w:val="243"/>
        </w:trPr>
        <w:tc>
          <w:tcPr>
            <w:tcW w:w="36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103"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94485" cy="282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28257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 Finkelstein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right="9840" w:firstLine="8"/>
        <w:spacing w:after="0" w:line="290"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290-4273 ir@formfactor.com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340" w:right="18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FORMFACTOR, INC. REPORTS 2026 THIRD QUARTER RESULTS </w:t>
      </w:r>
      <w:r>
        <w:rPr>
          <w:rFonts w:ascii="Times New Roman" w:cs="Times New Roman" w:eastAsia="Times New Roman" w:hAnsi="Times New Roman"/>
          <w:sz w:val="18"/>
          <w:szCs w:val="18"/>
          <w:i w:val="1"/>
          <w:iCs w:val="1"/>
          <w:color w:val="auto"/>
        </w:rPr>
        <w:t>Delivers Revenue, Gross Margin, and Earnings Per Share Exceeding the High End of the Outlook Range; Sees Continued Strong Broad Based Demand</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LIVERMORE, Calif. — October 28, 2026 </w:t>
      </w:r>
      <w:r>
        <w:rPr>
          <w:rFonts w:ascii="Times New Roman" w:cs="Times New Roman" w:eastAsia="Times New Roman" w:hAnsi="Times New Roman"/>
          <w:sz w:val="18"/>
          <w:szCs w:val="18"/>
          <w:color w:val="auto"/>
        </w:rPr>
        <w:t>— FormFactor, Inc. (Nasdaq: FORM) today announced its financial results for the third quarter of fiscal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26, 2026. Quarterly revenues were $280.5 million, an increase of 8.6% compared to $258.2 million in the second quarter of fiscal 2026, and an increase of 38.4% from $202.7 million in the third quarter of fiscal 2025.</w:t>
      </w:r>
    </w:p>
    <w:p>
      <w:pPr>
        <w:spacing w:after="0" w:line="20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consecutive quarterly revenue record, nearly 40% higher than the prior year quarter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percent sequential growth in Foundry &amp; Logic, with broad-based strength across multiple end applications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twenty percent sequential growth in Systems segment revenue on higher demand for co-packaged optics</w:t>
      </w:r>
    </w:p>
    <w:p>
      <w:pPr>
        <w:spacing w:after="0" w:line="9" w:lineRule="exact"/>
        <w:rPr>
          <w:rFonts w:ascii="Times New Roman" w:cs="Times New Roman" w:eastAsia="Times New Roman" w:hAnsi="Times New Roman"/>
          <w:sz w:val="18"/>
          <w:szCs w:val="18"/>
          <w:color w:val="auto"/>
        </w:rPr>
      </w:pPr>
    </w:p>
    <w:p>
      <w:pPr>
        <w:ind w:left="660" w:right="28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end of the third quarter, announced expansion of longstanding partnership with Teradyne aimed at accelerating the development, validation, and high-volume production of next-generation semiconductor applications enabling high-performance compute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“FormFactor continued its strong momentum during the third quarter, delivering growth in revenue, gross margin, and earnings per share that exceeded the high end of our guidance,” said Mike Slessor, CEO of FormFactor, Inc. “These results underscore the strength of our diversified leadership position at the intersection of high-performance compute and advanced packaging, and our ability to meet rising customer demand by increasing output within our existing manufacturing footprint.”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Highlights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GAAP basis, net income for the third quarter of fiscal 2026 was $73.8 million, or $0.93 per fully-diluted share, compared to net income for the second quarter of fiscal 2026 of $56.2 million, or $0.71 per fully-diluted share, and net income for the third quarter of fiscal 2025 of $15.7 million, or $0.20 per fully-diluted share. Gross margin for the third quarter of 2026 was 54.7%, compared with 50.7% in the second quarter of 2026, and 39.8% in the third quarter of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non-GAAP basis, net income for the third quarter of fiscal 2026 was $82.3 million, or $1.04 per fully-diluted share, compared to net income for the second quarter of fiscal 2026 of $65.0 million, or $0.82 per fully-diluted share, and net income for the third quarter of fiscal 2025 of $25.7 million, or $0.33 per fully-diluted share. On a non-GAAP basis, gross margin for the third quarter of 2026 was 56.5%, compared with 53.3% in the second quarter of 2026, and 41.0% in the third quarter of 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net cash provided by operating activities for the third quarter of fiscal 2026 was $104.3 million, compared to $61.8 million for the second quarter of fiscal 2026, and $27.0 million for the third quarter of fiscal 2025. Free cash flow for the third quarter of fiscal 2026 was $64.8 million, compared to free cash flow for the second quarter of fiscal 2026 of $52.6 million, and free cash flow for the third quarter of 2025 of $19.7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GAAP to non-GAAP measures is provided in the schedules included below.</w:t>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25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Dr. Slessor added, “Our fourth-quarter outlook reflects continued broad-based strength in demand. While the productivity gains from our existing manufacturing footprint are moderating as we approach its capacity limits, we are bringing our new Farmers Branch factory online, which will provide additional capacity to support our growth.”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ending December 26, 2026, FormFactor is providing the following outlook*:</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GAAP</w:t>
            </w:r>
          </w:p>
        </w:tc>
        <w:tc>
          <w:tcPr>
            <w:tcW w:w="100" w:type="dxa"/>
            <w:vAlign w:val="bottom"/>
            <w:vMerge w:val="restart"/>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Reconciling</w:t>
            </w: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Non-GAAP</w:t>
            </w:r>
          </w:p>
        </w:tc>
        <w:tc>
          <w:tcPr>
            <w:tcW w:w="0" w:type="dxa"/>
            <w:vAlign w:val="bottom"/>
          </w:tcPr>
          <w:p>
            <w:pPr>
              <w:spacing w:after="0"/>
              <w:rPr>
                <w:sz w:val="1"/>
                <w:szCs w:val="1"/>
                <w:color w:val="auto"/>
              </w:rPr>
            </w:pPr>
          </w:p>
        </w:tc>
      </w:tr>
      <w:tr>
        <w:trPr>
          <w:trHeight w:val="214"/>
        </w:trPr>
        <w:tc>
          <w:tcPr>
            <w:tcW w:w="416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100" w:type="dxa"/>
            <w:vAlign w:val="bottom"/>
            <w:tcBorders>
              <w:bottom w:val="single" w:sz="8" w:color="CCEEFF"/>
            </w:tcBorders>
          </w:tcPr>
          <w:p>
            <w:pPr>
              <w:spacing w:after="0"/>
              <w:rPr>
                <w:sz w:val="18"/>
                <w:szCs w:val="18"/>
                <w:color w:val="auto"/>
              </w:rPr>
            </w:pPr>
          </w:p>
        </w:tc>
        <w:tc>
          <w:tcPr>
            <w:tcW w:w="2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$285 million +/- $10 million</w:t>
            </w: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$285 million +/- $10 million</w:t>
            </w:r>
          </w:p>
        </w:tc>
        <w:tc>
          <w:tcPr>
            <w:tcW w:w="0" w:type="dxa"/>
            <w:vAlign w:val="bottom"/>
          </w:tcPr>
          <w:p>
            <w:pPr>
              <w:spacing w:after="0"/>
              <w:rPr>
                <w:sz w:val="1"/>
                <w:szCs w:val="1"/>
                <w:color w:val="auto"/>
              </w:rPr>
            </w:pPr>
          </w:p>
        </w:tc>
      </w:tr>
      <w:tr>
        <w:trPr>
          <w:trHeight w:val="24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7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52.3% +/- 1.5%</w:t>
            </w:r>
          </w:p>
        </w:tc>
        <w:tc>
          <w:tcPr>
            <w:tcW w:w="10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$4.9 million</w:t>
            </w:r>
          </w:p>
        </w:tc>
        <w:tc>
          <w:tcPr>
            <w:tcW w:w="274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54.0% +/- 1.5%</w:t>
            </w:r>
          </w:p>
        </w:tc>
        <w:tc>
          <w:tcPr>
            <w:tcW w:w="0" w:type="dxa"/>
            <w:vAlign w:val="bottom"/>
          </w:tcPr>
          <w:p>
            <w:pPr>
              <w:spacing w:after="0"/>
              <w:rPr>
                <w:sz w:val="1"/>
                <w:szCs w:val="1"/>
                <w:color w:val="auto"/>
              </w:rPr>
            </w:pPr>
          </w:p>
        </w:tc>
      </w:tr>
      <w:tr>
        <w:trPr>
          <w:trHeight w:val="23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diluted share</w:t>
            </w:r>
          </w:p>
        </w:tc>
        <w:tc>
          <w:tcPr>
            <w:tcW w:w="272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$0.84 +/- $0.09</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20"/>
                <w:szCs w:val="20"/>
                <w:color w:val="auto"/>
              </w:rPr>
            </w:pPr>
          </w:p>
        </w:tc>
        <w:tc>
          <w:tcPr>
            <w:tcW w:w="27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$0.95 +/- $0.09</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*This outlook assumes consistent foreign currency rates.</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**Reconciling items are stock-based compensation, amortization of intangible assets, and restructuring charges, net of applicable income tax impacts.</w:t>
      </w: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posted our revenue breakdown by geographic region, by market segment and with customers with greater than 10% of total revenue on the Investor Relations section of our website at www.formfactor.com. We will conduct a conference call at 1:25 p.m. PT, or 4:25 p.m. ET, today.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public is invited to listen to a live webcast of FormFactor’s conference call on the Investor Relations section of our website at www.formfactor.com. A telephone replay of the conference call will be available approximately two hours after the conclusion of the call. The replay will be available on the Investor Relations section of our website, www.formfactor.com.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Non-GAAP Financial Information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supplement our condensed consolidated financial results prepared under generally accepted accounting principles, or GAAP, we disclose certain non-GAAP measures of non-GAAP net income, non-GAAP net income per basic and diluted share, non-GAAP gross profit, non-GAAP gross margin, non-GAAP operating expenses, non-GAAP operating income and free cash flow, that are adjusted from the nearest GAAP financial measure to exclude certain costs, expenses, gains and losses. Reconciliations of the adjustments to GAAP results for the three and nine months ended September 26, 2026, and for outlook provided before, as well as for the comparable period of fiscal 2025, are provided below, and on the Investor Relations section of our website at www.formfactor.com. Information regarding the ways in which management uses non-GAAP financial information to evaluate its business, management's reasons for using this non-GAAP financial information, and limitations associated with the use of non-GAAP financial information, is included under “About our Non-GAAP Financial Measures” following the tables below.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FormFactor: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FormFactor, Inc. (Nasdaq: FORM), is a leading provider of essential test and measurement technologies along the full semiconductor product life cycle - from characterization, modeling, reliability, and design de-bug, to qualification and production test. Semiconductor companies rely upon FormFactor’s products and services to optimize device performance and advance yield knowledge. The Company serves customers through its network of facilities in Asia, Europe, and North America. For more information, visit the Company’s website at www.formfactor.com.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federal securities laws, including with respect to the Company’s future financial and operating results, market demand, and the Company’s plans, strategies and objectives for future operations. These statements are based on management’s current expectations and beliefs as of the date of this release, and are subject to a number of risks and uncertainties, many of which are beyond the Company’s control, that could cause actual results to differ materially from those described in the forward-looking statements. These forward-looking statements include, but are not limited to, statements regarding future financial and operating results, including under the heading “Outlook” above, the Company's performance, the Company's business strategies, the Company’s production plans, including the expected benefits of the Farmers Branch site, the expected benefits of the Company’s collaboration with Teradyne, and other statements regarding the Company’s business. Forward-looking statements may contain words such as “may,” “might,” “will,” “expect,” “plan,” “anticipate,” “forecast,” “continue,” and “prospect,” and the negative or plural of these words and similar expressions, and include the assumptions that underlie such statements. The following factors, among others, could cause actual results to differ materially from those described in the forward-looking statements: changes in and impacts from export control, tariffs and other trade barriers; changes in demand for</w:t>
      </w:r>
    </w:p>
    <w:p>
      <w:pPr>
        <w:sectPr>
          <w:pgSz w:w="11900" w:h="16838" w:orient="portrait"/>
          <w:cols w:equalWidth="0" w:num="1">
            <w:col w:w="11240"/>
          </w:cols>
          <w:pgMar w:left="320" w:top="887" w:right="339" w:bottom="1440" w:gutter="0" w:footer="0" w:header="0"/>
        </w:sectPr>
      </w:pPr>
    </w:p>
    <w:bookmarkStart w:id="6" w:name="page7"/>
    <w:bookmarkEnd w:id="6"/>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products; customer-specific demand; market opportunity; anticipated industry trends; the availability, benefits, and speed of customer acceptance or implementation of new products and technologies; manufacturing, processing, and design capacity, goals, expansion, volumes, and progress; difficulties or delays in research and development; industry seasonality; risks to the Company’s realization of benefits from acquisitions and investments; demand volatility and cyclicality of the industry; advancement of artificial intelligence; reliance on customers or third parties (including suppliers); changes in macro-economic environments; events affecting global and regional economic and market conditions and stability such as tariffs, military conflicts, political volatility, and similar factors, operating separately or in combination; and other factors, including those set forth in the Company’s most current annual report on Form 10-K, quarterly reports on Form 10-Q and other filings by the Company with the U.S. Securities and Exchange Commission. In addition, there are varying barriers to international trade, including restrictive trade and export regulations such as the US-China restrictions, dynamic tariffs, trade disputes between the U.S. and other countries, and national security developments or tensions, that may substantially restrict or condition our sales to or in certain countries, increase the cost of doing business internationally, and disrupt our supply chain. No assurances can be given that any of the events anticipated by the forward-looking statements within this press release will transpire or occur, or if any of them do so, what impact they will have on the results of operations or financial condition of the Company. Unless required by law, the Company is under no obligation (and expressly disclaims any such obligation) to update or revise its forward-looking statements whether as a result of new information, future events, or otherwise.</w:t>
      </w:r>
    </w:p>
    <w:p>
      <w:pPr>
        <w:sectPr>
          <w:pgSz w:w="11900" w:h="16838" w:orient="portrait"/>
          <w:cols w:equalWidth="0" w:num="1">
            <w:col w:w="11240"/>
          </w:cols>
          <w:pgMar w:left="320" w:top="89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72"/>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79"/>
              <w:spacing w:after="0" w:line="172" w:lineRule="exact"/>
              <w:rPr>
                <w:sz w:val="20"/>
                <w:szCs w:val="20"/>
                <w:color w:val="auto"/>
              </w:rPr>
            </w:pPr>
            <w:r>
              <w:rPr>
                <w:rFonts w:ascii="Times New Roman" w:cs="Times New Roman" w:eastAsia="Times New Roman" w:hAnsi="Times New Roman"/>
                <w:sz w:val="16"/>
                <w:szCs w:val="16"/>
                <w:b w:val="1"/>
                <w:bCs w:val="1"/>
                <w:color w:val="auto"/>
              </w:rPr>
              <w:t>September 26,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line="172" w:lineRule="exact"/>
              <w:rPr>
                <w:sz w:val="20"/>
                <w:szCs w:val="20"/>
                <w:color w:val="auto"/>
              </w:rPr>
            </w:pPr>
            <w:r>
              <w:rPr>
                <w:rFonts w:ascii="Times New Roman" w:cs="Times New Roman" w:eastAsia="Times New Roman" w:hAnsi="Times New Roman"/>
                <w:sz w:val="16"/>
                <w:szCs w:val="16"/>
                <w:b w:val="1"/>
                <w:bCs w:val="1"/>
                <w:color w:val="auto"/>
                <w:w w:val="98"/>
              </w:rPr>
              <w:t>June 27,</w:t>
            </w:r>
          </w:p>
        </w:tc>
        <w:tc>
          <w:tcPr>
            <w:tcW w:w="140" w:type="dxa"/>
            <w:vAlign w:val="bottom"/>
          </w:tcPr>
          <w:p>
            <w:pPr>
              <w:spacing w:after="0"/>
              <w:rPr>
                <w:sz w:val="14"/>
                <w:szCs w:val="14"/>
                <w:color w:val="auto"/>
              </w:rPr>
            </w:pPr>
          </w:p>
        </w:tc>
        <w:tc>
          <w:tcPr>
            <w:tcW w:w="1300" w:type="dxa"/>
            <w:vAlign w:val="bottom"/>
            <w:gridSpan w:val="2"/>
          </w:tcPr>
          <w:p>
            <w:pPr>
              <w:ind w:left="40"/>
              <w:spacing w:after="0" w:line="172"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140" w:type="dxa"/>
            <w:vAlign w:val="bottom"/>
          </w:tcPr>
          <w:p>
            <w:pPr>
              <w:spacing w:after="0"/>
              <w:rPr>
                <w:sz w:val="14"/>
                <w:szCs w:val="14"/>
                <w:color w:val="auto"/>
              </w:rPr>
            </w:pPr>
          </w:p>
        </w:tc>
        <w:tc>
          <w:tcPr>
            <w:tcW w:w="1300" w:type="dxa"/>
            <w:vAlign w:val="bottom"/>
            <w:gridSpan w:val="2"/>
          </w:tcPr>
          <w:p>
            <w:pPr>
              <w:ind w:left="40"/>
              <w:spacing w:after="0" w:line="172" w:lineRule="exact"/>
              <w:rPr>
                <w:sz w:val="20"/>
                <w:szCs w:val="20"/>
                <w:color w:val="auto"/>
              </w:rPr>
            </w:pPr>
            <w:r>
              <w:rPr>
                <w:rFonts w:ascii="Times New Roman" w:cs="Times New Roman" w:eastAsia="Times New Roman" w:hAnsi="Times New Roman"/>
                <w:sz w:val="16"/>
                <w:szCs w:val="16"/>
                <w:b w:val="1"/>
                <w:bCs w:val="1"/>
                <w:color w:val="auto"/>
              </w:rPr>
              <w:t>September 26,</w:t>
            </w:r>
          </w:p>
        </w:tc>
        <w:tc>
          <w:tcPr>
            <w:tcW w:w="140" w:type="dxa"/>
            <w:vAlign w:val="bottom"/>
          </w:tcPr>
          <w:p>
            <w:pPr>
              <w:spacing w:after="0"/>
              <w:rPr>
                <w:sz w:val="14"/>
                <w:szCs w:val="14"/>
                <w:color w:val="auto"/>
              </w:rPr>
            </w:pPr>
          </w:p>
        </w:tc>
        <w:tc>
          <w:tcPr>
            <w:tcW w:w="1200" w:type="dxa"/>
            <w:vAlign w:val="bottom"/>
          </w:tcPr>
          <w:p>
            <w:pPr>
              <w:jc w:val="right"/>
              <w:ind w:right="99"/>
              <w:spacing w:after="0" w:line="172"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0" w:type="dxa"/>
            <w:vAlign w:val="bottom"/>
          </w:tcPr>
          <w:p>
            <w:pPr>
              <w:spacing w:after="0"/>
              <w:rPr>
                <w:sz w:val="1"/>
                <w:szCs w:val="1"/>
                <w:color w:val="auto"/>
              </w:rPr>
            </w:pPr>
          </w:p>
        </w:tc>
      </w:tr>
      <w:tr>
        <w:trPr>
          <w:trHeight w:val="214"/>
        </w:trPr>
        <w:tc>
          <w:tcPr>
            <w:tcW w:w="4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280,547</w:t>
            </w:r>
          </w:p>
        </w:tc>
        <w:tc>
          <w:tcPr>
            <w:tcW w:w="3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764,933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569,830</w:t>
            </w:r>
          </w:p>
        </w:tc>
        <w:tc>
          <w:tcPr>
            <w:tcW w:w="0" w:type="dxa"/>
            <w:vAlign w:val="bottom"/>
          </w:tcPr>
          <w:p>
            <w:pPr>
              <w:spacing w:after="0"/>
              <w:rPr>
                <w:sz w:val="1"/>
                <w:szCs w:val="1"/>
                <w:color w:val="auto"/>
              </w:rPr>
            </w:pPr>
          </w:p>
        </w:tc>
      </w:tr>
      <w:tr>
        <w:trPr>
          <w:trHeight w:val="227"/>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393,821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351,743</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218,087</w:t>
            </w: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85,279</w:t>
            </w:r>
          </w:p>
        </w:tc>
        <w:tc>
          <w:tcPr>
            <w:tcW w:w="0" w:type="dxa"/>
            <w:vAlign w:val="bottom"/>
          </w:tcPr>
          <w:p>
            <w:pPr>
              <w:spacing w:after="0"/>
              <w:rPr>
                <w:sz w:val="1"/>
                <w:szCs w:val="1"/>
                <w:color w:val="auto"/>
              </w:rPr>
            </w:pPr>
          </w:p>
        </w:tc>
      </w:tr>
      <w:tr>
        <w:trPr>
          <w:trHeight w:val="227"/>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97,907</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Factory start-up costs</w:t>
            </w: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4,859</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18,308</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0" w:type="dxa"/>
            <w:vAlign w:val="bottom"/>
          </w:tcPr>
          <w:p>
            <w:pPr>
              <w:spacing w:after="0"/>
              <w:rPr>
                <w:sz w:val="1"/>
                <w:szCs w:val="1"/>
                <w:color w:val="auto"/>
              </w:rPr>
            </w:pPr>
          </w:p>
        </w:tc>
      </w:tr>
      <w:tr>
        <w:trPr>
          <w:trHeight w:val="22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184,507</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33,580</w:t>
            </w: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7,935</w:t>
            </w: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 and equity investment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42,843</w:t>
            </w: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9,384</w:t>
            </w:r>
          </w:p>
        </w:tc>
        <w:tc>
          <w:tcPr>
            <w:tcW w:w="0" w:type="dxa"/>
            <w:vAlign w:val="bottom"/>
          </w:tcPr>
          <w:p>
            <w:pPr>
              <w:spacing w:after="0"/>
              <w:rPr>
                <w:sz w:val="1"/>
                <w:szCs w:val="1"/>
                <w:color w:val="auto"/>
              </w:rPr>
            </w:pPr>
          </w:p>
        </w:tc>
      </w:tr>
      <w:tr>
        <w:trPr>
          <w:trHeight w:val="227"/>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from equity investment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73,820</w:t>
            </w:r>
          </w:p>
        </w:tc>
        <w:tc>
          <w:tcPr>
            <w:tcW w:w="3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6"/>
              </w:rPr>
              <w:t>Weighted-average number of shares used in per share calculations:</w:t>
            </w:r>
          </w:p>
        </w:tc>
        <w:tc>
          <w:tcPr>
            <w:tcW w:w="13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78,287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78,036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77,387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78,049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77,270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 RECONCILIATIONS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72"/>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19"/>
              <w:spacing w:after="0" w:line="172" w:lineRule="exact"/>
              <w:rPr>
                <w:sz w:val="20"/>
                <w:szCs w:val="20"/>
                <w:color w:val="auto"/>
              </w:rPr>
            </w:pPr>
            <w:r>
              <w:rPr>
                <w:rFonts w:ascii="Times New Roman" w:cs="Times New Roman" w:eastAsia="Times New Roman" w:hAnsi="Times New Roman"/>
                <w:sz w:val="16"/>
                <w:szCs w:val="16"/>
                <w:b w:val="1"/>
                <w:bCs w:val="1"/>
                <w:color w:val="auto"/>
              </w:rPr>
              <w:t>September 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340"/>
              <w:spacing w:after="0" w:line="172" w:lineRule="exact"/>
              <w:rPr>
                <w:sz w:val="20"/>
                <w:szCs w:val="20"/>
                <w:color w:val="auto"/>
              </w:rPr>
            </w:pPr>
            <w:r>
              <w:rPr>
                <w:rFonts w:ascii="Times New Roman" w:cs="Times New Roman" w:eastAsia="Times New Roman" w:hAnsi="Times New Roman"/>
                <w:sz w:val="16"/>
                <w:szCs w:val="16"/>
                <w:b w:val="1"/>
                <w:bCs w:val="1"/>
                <w:color w:val="auto"/>
              </w:rPr>
              <w:t>June 27,</w:t>
            </w:r>
          </w:p>
        </w:tc>
        <w:tc>
          <w:tcPr>
            <w:tcW w:w="160" w:type="dxa"/>
            <w:vAlign w:val="bottom"/>
          </w:tcPr>
          <w:p>
            <w:pPr>
              <w:spacing w:after="0"/>
              <w:rPr>
                <w:sz w:val="14"/>
                <w:szCs w:val="14"/>
                <w:color w:val="auto"/>
              </w:rPr>
            </w:pPr>
          </w:p>
        </w:tc>
        <w:tc>
          <w:tcPr>
            <w:tcW w:w="138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140" w:type="dxa"/>
            <w:vAlign w:val="bottom"/>
          </w:tcPr>
          <w:p>
            <w:pPr>
              <w:spacing w:after="0"/>
              <w:rPr>
                <w:sz w:val="14"/>
                <w:szCs w:val="14"/>
                <w:color w:val="auto"/>
              </w:rPr>
            </w:pPr>
          </w:p>
        </w:tc>
        <w:tc>
          <w:tcPr>
            <w:tcW w:w="134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6"/>
                <w:szCs w:val="16"/>
                <w:b w:val="1"/>
                <w:bCs w:val="1"/>
                <w:color w:val="auto"/>
              </w:rPr>
              <w:t>September 26,</w:t>
            </w:r>
          </w:p>
        </w:tc>
        <w:tc>
          <w:tcPr>
            <w:tcW w:w="160" w:type="dxa"/>
            <w:vAlign w:val="bottom"/>
          </w:tcPr>
          <w:p>
            <w:pPr>
              <w:spacing w:after="0"/>
              <w:rPr>
                <w:sz w:val="14"/>
                <w:szCs w:val="14"/>
                <w:color w:val="auto"/>
              </w:rPr>
            </w:pPr>
          </w:p>
        </w:tc>
        <w:tc>
          <w:tcPr>
            <w:tcW w:w="1240" w:type="dxa"/>
            <w:vAlign w:val="bottom"/>
          </w:tcPr>
          <w:p>
            <w:pPr>
              <w:jc w:val="right"/>
              <w:ind w:right="119"/>
              <w:spacing w:after="0" w:line="172"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0" w:type="dxa"/>
            <w:vAlign w:val="bottom"/>
          </w:tcPr>
          <w:p>
            <w:pPr>
              <w:spacing w:after="0"/>
              <w:rPr>
                <w:sz w:val="1"/>
                <w:szCs w:val="1"/>
                <w:color w:val="auto"/>
              </w:rPr>
            </w:pPr>
          </w:p>
        </w:tc>
      </w:tr>
      <w:tr>
        <w:trPr>
          <w:trHeight w:val="214"/>
        </w:trPr>
        <w:tc>
          <w:tcPr>
            <w:tcW w:w="3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Gross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153,396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80,626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371,112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218,087</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2,767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28,557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27"/>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tcPr>
          <w:p>
            <w:pPr>
              <w:spacing w:after="0"/>
              <w:rPr>
                <w:sz w:val="19"/>
                <w:szCs w:val="19"/>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5,636</w:t>
            </w:r>
          </w:p>
        </w:tc>
        <w:tc>
          <w:tcPr>
            <w:tcW w:w="0" w:type="dxa"/>
            <w:vAlign w:val="bottom"/>
          </w:tcPr>
          <w:p>
            <w:pPr>
              <w:spacing w:after="0"/>
              <w:rPr>
                <w:sz w:val="1"/>
                <w:szCs w:val="1"/>
                <w:color w:val="auto"/>
              </w:rPr>
            </w:pPr>
          </w:p>
        </w:tc>
      </w:tr>
      <w:tr>
        <w:trPr>
          <w:trHeight w:val="178"/>
        </w:trPr>
        <w:tc>
          <w:tcPr>
            <w:tcW w:w="382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Amortization of intangibles and fixed asset fair value</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129"/>
        </w:trPr>
        <w:tc>
          <w:tcPr>
            <w:tcW w:w="38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due to acquisitions</w:t>
            </w:r>
          </w:p>
        </w:tc>
        <w:tc>
          <w:tcPr>
            <w:tcW w:w="160" w:type="dxa"/>
            <w:vAlign w:val="bottom"/>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820" w:type="dxa"/>
            <w:vAlign w:val="bottom"/>
            <w:vMerge w:val="continue"/>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158,486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137,619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83,173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406,838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225,642</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1240"/>
          </w:cols>
          <w:pgMar w:left="320" w:top="887"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GAAP Gross Margin</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Adjustments:</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Restructuring charges</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46" w:lineRule="exact"/>
        <w:rPr>
          <w:sz w:val="20"/>
          <w:szCs w:val="20"/>
          <w:color w:val="auto"/>
        </w:rPr>
      </w:pPr>
    </w:p>
    <w:p>
      <w:pPr>
        <w:ind w:left="140"/>
        <w:spacing w:after="0" w:line="245" w:lineRule="auto"/>
        <w:rPr>
          <w:sz w:val="20"/>
          <w:szCs w:val="20"/>
          <w:color w:val="auto"/>
        </w:rPr>
      </w:pPr>
      <w:r>
        <w:rPr>
          <w:rFonts w:ascii="Times New Roman" w:cs="Times New Roman" w:eastAsia="Times New Roman" w:hAnsi="Times New Roman"/>
          <w:sz w:val="16"/>
          <w:szCs w:val="16"/>
          <w:color w:val="auto"/>
        </w:rPr>
        <w:t>Amortization of intangibles and fixed asset fair value adjustments due to acquisitions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Non-GAAP Gross Margin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39.8 %</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38.3 %</w:t>
            </w:r>
          </w:p>
        </w:tc>
      </w:tr>
      <w:tr>
        <w:trPr>
          <w:trHeight w:val="459"/>
        </w:trPr>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29"/>
        </w:trPr>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311"/>
        </w:trPr>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87"/>
        </w:trPr>
        <w:tc>
          <w:tcPr>
            <w:tcW w:w="1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r>
      <w:tr>
        <w:trPr>
          <w:trHeight w:val="220"/>
        </w:trPr>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56.5 %</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53.3 %</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41.0 %</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53.2 %</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39.6 %</w:t>
            </w:r>
          </w:p>
        </w:tc>
      </w:tr>
      <w:tr>
        <w:trPr>
          <w:trHeight w:val="23"/>
        </w:trPr>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-873760</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-582295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-187960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220"/>
            <w:col w:w="7420"/>
          </w:cols>
          <w:pgMar w:left="320" w:top="887"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operating expenses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71,799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73,123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62,621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215,068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184,507</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(2,108)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(3,291)</w:t>
            </w:r>
          </w:p>
        </w:tc>
        <w:tc>
          <w:tcPr>
            <w:tcW w:w="0" w:type="dxa"/>
            <w:vAlign w:val="bottom"/>
          </w:tcPr>
          <w:p>
            <w:pPr>
              <w:spacing w:after="0"/>
              <w:rPr>
                <w:sz w:val="1"/>
                <w:szCs w:val="1"/>
                <w:color w:val="auto"/>
              </w:rPr>
            </w:pPr>
          </w:p>
        </w:tc>
      </w:tr>
      <w:tr>
        <w:trPr>
          <w:trHeight w:val="227"/>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42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(7,176)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(6,930)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(20,327)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(23,067)</w:t>
            </w: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27"/>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Costs related to sale and acquisition of businesses</w:t>
            </w:r>
          </w:p>
        </w:tc>
        <w:tc>
          <w:tcPr>
            <w:tcW w:w="42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65,654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54,582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192,077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157,304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operating income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81,597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57,799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156,044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33,580</w:t>
            </w:r>
          </w:p>
        </w:tc>
        <w:tc>
          <w:tcPr>
            <w:tcW w:w="0" w:type="dxa"/>
            <w:vAlign w:val="bottom"/>
          </w:tcPr>
          <w:p>
            <w:pPr>
              <w:spacing w:after="0"/>
              <w:rPr>
                <w:sz w:val="1"/>
                <w:szCs w:val="1"/>
                <w:color w:val="auto"/>
              </w:rPr>
            </w:pPr>
          </w:p>
        </w:tc>
      </w:tr>
      <w:tr>
        <w:trPr>
          <w:trHeight w:val="226"/>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2,851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4,493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30,665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3,650</w:t>
            </w:r>
          </w:p>
        </w:tc>
        <w:tc>
          <w:tcPr>
            <w:tcW w:w="0" w:type="dxa"/>
            <w:vAlign w:val="bottom"/>
          </w:tcPr>
          <w:p>
            <w:pPr>
              <w:spacing w:after="0"/>
              <w:rPr>
                <w:sz w:val="1"/>
                <w:szCs w:val="1"/>
                <w:color w:val="auto"/>
              </w:rPr>
            </w:pPr>
          </w:p>
        </w:tc>
      </w:tr>
      <w:tr>
        <w:trPr>
          <w:trHeight w:val="226"/>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42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25,395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28,703</w:t>
            </w:r>
          </w:p>
        </w:tc>
        <w:tc>
          <w:tcPr>
            <w:tcW w:w="0" w:type="dxa"/>
            <w:vAlign w:val="bottom"/>
          </w:tcPr>
          <w:p>
            <w:pPr>
              <w:spacing w:after="0"/>
              <w:rPr>
                <w:sz w:val="1"/>
                <w:szCs w:val="1"/>
                <w:color w:val="auto"/>
              </w:rPr>
            </w:pPr>
          </w:p>
        </w:tc>
      </w:tr>
      <w:tr>
        <w:trPr>
          <w:trHeight w:val="179"/>
        </w:trPr>
        <w:tc>
          <w:tcPr>
            <w:tcW w:w="382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Amortization of intangibles and fixed asset fair value</w:t>
            </w:r>
          </w:p>
        </w:tc>
        <w:tc>
          <w:tcPr>
            <w:tcW w:w="4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2,395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2,133</w:t>
            </w:r>
          </w:p>
        </w:tc>
        <w:tc>
          <w:tcPr>
            <w:tcW w:w="0" w:type="dxa"/>
            <w:vAlign w:val="bottom"/>
          </w:tcPr>
          <w:p>
            <w:pPr>
              <w:spacing w:after="0"/>
              <w:rPr>
                <w:sz w:val="1"/>
                <w:szCs w:val="1"/>
                <w:color w:val="auto"/>
              </w:rPr>
            </w:pPr>
          </w:p>
        </w:tc>
      </w:tr>
      <w:tr>
        <w:trPr>
          <w:trHeight w:val="129"/>
        </w:trPr>
        <w:tc>
          <w:tcPr>
            <w:tcW w:w="38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due to acquisitions</w:t>
            </w:r>
          </w:p>
        </w:tc>
        <w:tc>
          <w:tcPr>
            <w:tcW w:w="42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82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Costs related to sale and acquisition of businesses</w:t>
            </w:r>
          </w:p>
        </w:tc>
        <w:tc>
          <w:tcPr>
            <w:tcW w:w="42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71,965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28,591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214,761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68,338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type w:val="continuous"/>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 RECONCILIATIONS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72"/>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79"/>
              <w:spacing w:after="0" w:line="172" w:lineRule="exact"/>
              <w:rPr>
                <w:sz w:val="20"/>
                <w:szCs w:val="20"/>
                <w:color w:val="auto"/>
              </w:rPr>
            </w:pPr>
            <w:r>
              <w:rPr>
                <w:rFonts w:ascii="Times New Roman" w:cs="Times New Roman" w:eastAsia="Times New Roman" w:hAnsi="Times New Roman"/>
                <w:sz w:val="16"/>
                <w:szCs w:val="16"/>
                <w:b w:val="1"/>
                <w:bCs w:val="1"/>
                <w:color w:val="auto"/>
              </w:rPr>
              <w:t>September 26,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line="172" w:lineRule="exact"/>
              <w:rPr>
                <w:sz w:val="20"/>
                <w:szCs w:val="20"/>
                <w:color w:val="auto"/>
              </w:rPr>
            </w:pPr>
            <w:r>
              <w:rPr>
                <w:rFonts w:ascii="Times New Roman" w:cs="Times New Roman" w:eastAsia="Times New Roman" w:hAnsi="Times New Roman"/>
                <w:sz w:val="16"/>
                <w:szCs w:val="16"/>
                <w:b w:val="1"/>
                <w:bCs w:val="1"/>
                <w:color w:val="auto"/>
                <w:w w:val="98"/>
              </w:rPr>
              <w:t>June 27,</w:t>
            </w:r>
          </w:p>
        </w:tc>
        <w:tc>
          <w:tcPr>
            <w:tcW w:w="140" w:type="dxa"/>
            <w:vAlign w:val="bottom"/>
          </w:tcPr>
          <w:p>
            <w:pPr>
              <w:spacing w:after="0"/>
              <w:rPr>
                <w:sz w:val="14"/>
                <w:szCs w:val="14"/>
                <w:color w:val="auto"/>
              </w:rPr>
            </w:pPr>
          </w:p>
        </w:tc>
        <w:tc>
          <w:tcPr>
            <w:tcW w:w="1300" w:type="dxa"/>
            <w:vAlign w:val="bottom"/>
            <w:gridSpan w:val="2"/>
          </w:tcPr>
          <w:p>
            <w:pPr>
              <w:ind w:left="40"/>
              <w:spacing w:after="0" w:line="172"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140" w:type="dxa"/>
            <w:vAlign w:val="bottom"/>
          </w:tcPr>
          <w:p>
            <w:pPr>
              <w:spacing w:after="0"/>
              <w:rPr>
                <w:sz w:val="14"/>
                <w:szCs w:val="14"/>
                <w:color w:val="auto"/>
              </w:rPr>
            </w:pPr>
          </w:p>
        </w:tc>
        <w:tc>
          <w:tcPr>
            <w:tcW w:w="1300" w:type="dxa"/>
            <w:vAlign w:val="bottom"/>
            <w:gridSpan w:val="2"/>
          </w:tcPr>
          <w:p>
            <w:pPr>
              <w:ind w:left="40"/>
              <w:spacing w:after="0" w:line="172" w:lineRule="exact"/>
              <w:rPr>
                <w:sz w:val="20"/>
                <w:szCs w:val="20"/>
                <w:color w:val="auto"/>
              </w:rPr>
            </w:pPr>
            <w:r>
              <w:rPr>
                <w:rFonts w:ascii="Times New Roman" w:cs="Times New Roman" w:eastAsia="Times New Roman" w:hAnsi="Times New Roman"/>
                <w:sz w:val="16"/>
                <w:szCs w:val="16"/>
                <w:b w:val="1"/>
                <w:bCs w:val="1"/>
                <w:color w:val="auto"/>
              </w:rPr>
              <w:t>September 26,</w:t>
            </w:r>
          </w:p>
        </w:tc>
        <w:tc>
          <w:tcPr>
            <w:tcW w:w="140" w:type="dxa"/>
            <w:vAlign w:val="bottom"/>
          </w:tcPr>
          <w:p>
            <w:pPr>
              <w:spacing w:after="0"/>
              <w:rPr>
                <w:sz w:val="14"/>
                <w:szCs w:val="14"/>
                <w:color w:val="auto"/>
              </w:rPr>
            </w:pPr>
          </w:p>
        </w:tc>
        <w:tc>
          <w:tcPr>
            <w:tcW w:w="1200" w:type="dxa"/>
            <w:vAlign w:val="bottom"/>
          </w:tcPr>
          <w:p>
            <w:pPr>
              <w:jc w:val="right"/>
              <w:ind w:right="99"/>
              <w:spacing w:after="0" w:line="172"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0" w:type="dxa"/>
            <w:vAlign w:val="bottom"/>
          </w:tcPr>
          <w:p>
            <w:pPr>
              <w:spacing w:after="0"/>
              <w:rPr>
                <w:sz w:val="1"/>
                <w:szCs w:val="1"/>
                <w:color w:val="auto"/>
              </w:rPr>
            </w:pPr>
          </w:p>
        </w:tc>
      </w:tr>
      <w:tr>
        <w:trPr>
          <w:trHeight w:val="214"/>
        </w:trPr>
        <w:tc>
          <w:tcPr>
            <w:tcW w:w="4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73,820</w:t>
            </w:r>
          </w:p>
        </w:tc>
        <w:tc>
          <w:tcPr>
            <w:tcW w:w="3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31,143</w:t>
            </w: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w:t>
            </w:r>
          </w:p>
        </w:tc>
        <w:tc>
          <w:tcPr>
            <w:tcW w:w="0" w:type="dxa"/>
            <w:vAlign w:val="bottom"/>
          </w:tcPr>
          <w:p>
            <w:pPr>
              <w:spacing w:after="0"/>
              <w:rPr>
                <w:sz w:val="1"/>
                <w:szCs w:val="1"/>
                <w:color w:val="auto"/>
              </w:rPr>
            </w:pPr>
          </w:p>
        </w:tc>
      </w:tr>
      <w:tr>
        <w:trPr>
          <w:trHeight w:val="226"/>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28,703</w:t>
            </w:r>
          </w:p>
        </w:tc>
        <w:tc>
          <w:tcPr>
            <w:tcW w:w="0" w:type="dxa"/>
            <w:vAlign w:val="bottom"/>
          </w:tcPr>
          <w:p>
            <w:pPr>
              <w:spacing w:after="0"/>
              <w:rPr>
                <w:sz w:val="1"/>
                <w:szCs w:val="1"/>
                <w:color w:val="auto"/>
              </w:rPr>
            </w:pPr>
          </w:p>
        </w:tc>
      </w:tr>
      <w:tr>
        <w:trPr>
          <w:trHeight w:val="179"/>
        </w:trPr>
        <w:tc>
          <w:tcPr>
            <w:tcW w:w="416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Amortization of intangibles and fixed asset fair value</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due to acquisitions</w:t>
            </w: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Costs related to sale and acquisition of businesses, net of gain</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0" w:type="dxa"/>
            <w:vAlign w:val="bottom"/>
          </w:tcPr>
          <w:p>
            <w:pPr>
              <w:spacing w:after="0"/>
              <w:rPr>
                <w:sz w:val="1"/>
                <w:szCs w:val="1"/>
                <w:color w:val="auto"/>
              </w:rPr>
            </w:pPr>
          </w:p>
        </w:tc>
      </w:tr>
      <w:tr>
        <w:trPr>
          <w:trHeight w:val="21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on sale of assets</w:t>
            </w: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0" w:type="dxa"/>
            <w:vAlign w:val="bottom"/>
          </w:tcPr>
          <w:p>
            <w:pPr>
              <w:spacing w:after="0"/>
              <w:rPr>
                <w:sz w:val="1"/>
                <w:szCs w:val="1"/>
                <w:color w:val="auto"/>
              </w:rPr>
            </w:pPr>
          </w:p>
        </w:tc>
      </w:tr>
      <w:tr>
        <w:trPr>
          <w:trHeight w:val="226"/>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82,278</w:t>
            </w: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64,910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 per share: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per share: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cash provided by 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104,270</w:t>
            </w: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69,423</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887" w:right="339" w:bottom="1440" w:gutter="0" w:footer="0" w:header="0"/>
        </w:sectPr>
      </w:pPr>
    </w:p>
    <w:p>
      <w:pPr>
        <w:ind w:left="140" w:right="160"/>
        <w:spacing w:after="0" w:line="245" w:lineRule="auto"/>
        <w:rPr>
          <w:sz w:val="20"/>
          <w:szCs w:val="20"/>
          <w:color w:val="auto"/>
        </w:rPr>
      </w:pPr>
      <w:r>
        <w:rPr>
          <w:rFonts w:ascii="Times New Roman" w:cs="Times New Roman" w:eastAsia="Times New Roman" w:hAnsi="Times New Roman"/>
          <w:sz w:val="16"/>
          <w:szCs w:val="16"/>
          <w:color w:val="auto"/>
        </w:rPr>
        <w:t>Sale of business and acquisition related payments in working capital</w:t>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Cash paid for interest</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Capital expenditures</w:t>
      </w:r>
    </w:p>
    <w:p>
      <w:pPr>
        <w:spacing w:after="0" w:line="59" w:lineRule="exact"/>
        <w:rPr>
          <w:sz w:val="20"/>
          <w:szCs w:val="20"/>
          <w:color w:val="auto"/>
        </w:rPr>
      </w:pPr>
    </w:p>
    <w:p>
      <w:pPr>
        <w:ind w:left="20"/>
        <w:spacing w:after="0"/>
        <w:tabs>
          <w:tab w:leader="none" w:pos="4160" w:val="left"/>
        </w:tabs>
        <w:rPr>
          <w:sz w:val="20"/>
          <w:szCs w:val="20"/>
          <w:color w:val="auto"/>
        </w:rPr>
      </w:pPr>
      <w:r>
        <w:rPr>
          <w:rFonts w:ascii="Times New Roman" w:cs="Times New Roman" w:eastAsia="Times New Roman" w:hAnsi="Times New Roman"/>
          <w:sz w:val="16"/>
          <w:szCs w:val="16"/>
          <w:b w:val="1"/>
          <w:bCs w:val="1"/>
          <w:color w:val="auto"/>
        </w:rPr>
        <w:t>Free cash flow</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75</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r>
      <w:tr>
        <w:trPr>
          <w:trHeight w:val="310"/>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81</w:t>
            </w: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33"/>
        </w:trPr>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8"/>
              </w:rPr>
              <w:t>(39,648)</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(9,599)</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(7,505)</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(64,439)</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(92,345)</w:t>
            </w:r>
          </w:p>
        </w:tc>
      </w:tr>
      <w:tr>
        <w:trPr>
          <w:trHeight w:val="223"/>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64,778</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52,552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148,060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(21,174)</w:t>
            </w:r>
          </w:p>
        </w:tc>
      </w:tr>
      <w:tr>
        <w:trPr>
          <w:trHeight w:val="23"/>
        </w:trPr>
        <w:tc>
          <w:tcPr>
            <w:tcW w:w="7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-479425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-187960</wp:posOffset>
            </wp:positionV>
            <wp:extent cx="71323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640"/>
            <w:col w:w="6340"/>
          </w:cols>
          <w:pgMar w:left="320" w:top="887"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cash provided by (used in) investing activities</w:t>
            </w:r>
          </w:p>
        </w:tc>
        <w:tc>
          <w:tcPr>
            <w:tcW w:w="5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(62,038)</w:t>
            </w:r>
          </w:p>
        </w:tc>
        <w:tc>
          <w:tcPr>
            <w:tcW w:w="4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(65,304)</w:t>
            </w:r>
          </w:p>
        </w:tc>
        <w:tc>
          <w:tcPr>
            <w:tcW w:w="5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6,718</w:t>
            </w:r>
          </w:p>
        </w:tc>
        <w:tc>
          <w:tcPr>
            <w:tcW w:w="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(150,749)</w:t>
            </w:r>
          </w:p>
        </w:tc>
        <w:tc>
          <w:tcPr>
            <w:tcW w:w="4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(156,495)</w:t>
            </w: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cash used in financing activities</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(14,653)</w:t>
            </w:r>
          </w:p>
        </w:tc>
        <w:tc>
          <w:tcPr>
            <w:tcW w:w="4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(9,526)</w:t>
            </w:r>
          </w:p>
        </w:tc>
        <w:tc>
          <w:tcPr>
            <w:tcW w:w="5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(25,375)</w:t>
            </w:r>
          </w:p>
        </w:tc>
        <w:tc>
          <w:tcPr>
            <w:tcW w:w="4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(9,560)</w:t>
            </w:r>
          </w:p>
        </w:tc>
      </w:tr>
    </w:tbl>
    <w:p>
      <w:pPr>
        <w:sectPr>
          <w:pgSz w:w="11900" w:h="16838" w:orient="portrait"/>
          <w:cols w:equalWidth="0" w:num="1">
            <w:col w:w="11240"/>
          </w:cols>
          <w:pgMar w:left="320" w:top="887" w:right="339" w:bottom="1440" w:gutter="0" w:footer="0" w:header="0"/>
          <w:type w:val="continuous"/>
        </w:sectPr>
      </w:pPr>
    </w:p>
    <w:bookmarkStart w:id="10" w:name="page11"/>
    <w:bookmarkEnd w:id="10"/>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72"/>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40"/>
              <w:spacing w:after="0" w:line="172" w:lineRule="exact"/>
              <w:rPr>
                <w:sz w:val="20"/>
                <w:szCs w:val="20"/>
                <w:color w:val="auto"/>
              </w:rPr>
            </w:pPr>
            <w:r>
              <w:rPr>
                <w:rFonts w:ascii="Times New Roman" w:cs="Times New Roman" w:eastAsia="Times New Roman" w:hAnsi="Times New Roman"/>
                <w:sz w:val="16"/>
                <w:szCs w:val="16"/>
                <w:b w:val="1"/>
                <w:bCs w:val="1"/>
                <w:color w:val="auto"/>
              </w:rPr>
              <w:t>September 26,</w:t>
            </w:r>
          </w:p>
        </w:tc>
        <w:tc>
          <w:tcPr>
            <w:tcW w:w="140" w:type="dxa"/>
            <w:vAlign w:val="bottom"/>
          </w:tcPr>
          <w:p>
            <w:pPr>
              <w:spacing w:after="0"/>
              <w:rPr>
                <w:sz w:val="14"/>
                <w:szCs w:val="14"/>
                <w:color w:val="auto"/>
              </w:rPr>
            </w:pPr>
          </w:p>
        </w:tc>
        <w:tc>
          <w:tcPr>
            <w:tcW w:w="1200" w:type="dxa"/>
            <w:vAlign w:val="bottom"/>
          </w:tcPr>
          <w:p>
            <w:pPr>
              <w:jc w:val="right"/>
              <w:ind w:right="99"/>
              <w:spacing w:after="0" w:line="172" w:lineRule="exact"/>
              <w:rPr>
                <w:sz w:val="20"/>
                <w:szCs w:val="20"/>
                <w:color w:val="auto"/>
              </w:rPr>
            </w:pPr>
            <w:r>
              <w:rPr>
                <w:rFonts w:ascii="Times New Roman" w:cs="Times New Roman" w:eastAsia="Times New Roman" w:hAnsi="Times New Roman"/>
                <w:sz w:val="16"/>
                <w:szCs w:val="16"/>
                <w:b w:val="1"/>
                <w:bCs w:val="1"/>
                <w:color w:val="auto"/>
              </w:rPr>
              <w:t>September 27,</w:t>
            </w:r>
          </w:p>
        </w:tc>
      </w:tr>
      <w:tr>
        <w:trPr>
          <w:trHeight w:val="214"/>
        </w:trPr>
        <w:tc>
          <w:tcPr>
            <w:tcW w:w="8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7"/>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150,411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31,143</w:t>
            </w:r>
          </w:p>
        </w:tc>
      </w:tr>
      <w:tr>
        <w:trPr>
          <w:trHeight w:val="232"/>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Selected adjustments to reconcile net income to net cash provided by operating activities:</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7"/>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28,161</w:t>
            </w:r>
          </w:p>
        </w:tc>
      </w:tr>
      <w:tr>
        <w:trPr>
          <w:trHeight w:val="23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28,703</w:t>
            </w:r>
          </w:p>
        </w:tc>
      </w:tr>
      <w:tr>
        <w:trPr>
          <w:trHeight w:val="227"/>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Provision for excess and obsolete inventories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9,922</w:t>
            </w:r>
          </w:p>
        </w:tc>
      </w:tr>
      <w:tr>
        <w:trPr>
          <w:trHeight w:val="23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(income) from equity investment</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w:t>
            </w:r>
          </w:p>
        </w:tc>
      </w:tr>
      <w:tr>
        <w:trPr>
          <w:trHeight w:val="227"/>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restructuring charges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w:t>
            </w:r>
          </w:p>
        </w:tc>
      </w:tr>
      <w:tr>
        <w:trPr>
          <w:trHeight w:val="23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activity impacting operating cash flows</w:t>
            </w: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(11,721)</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(32,941)</w:t>
            </w:r>
          </w:p>
        </w:tc>
      </w:tr>
      <w:tr>
        <w:trPr>
          <w:trHeight w:val="220"/>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69,423</w:t>
            </w:r>
          </w:p>
        </w:tc>
      </w:tr>
      <w:tr>
        <w:trPr>
          <w:trHeight w:val="23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6"/>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property, plant and equipment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(92,345)</w:t>
            </w:r>
          </w:p>
        </w:tc>
      </w:tr>
      <w:tr>
        <w:trPr>
          <w:trHeight w:val="23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27"/>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 of equity investment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(67,156)</w:t>
            </w:r>
          </w:p>
        </w:tc>
      </w:tr>
      <w:tr>
        <w:trPr>
          <w:trHeight w:val="232"/>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marketable securities, net</w:t>
            </w: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(87,185)</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r>
      <w:tr>
        <w:trPr>
          <w:trHeight w:val="220"/>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(156,495)</w:t>
            </w:r>
          </w:p>
        </w:tc>
      </w:tr>
      <w:tr>
        <w:trPr>
          <w:trHeight w:val="23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7"/>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 of common stock through stock repurchase program</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(26,244)</w:t>
            </w:r>
          </w:p>
        </w:tc>
      </w:tr>
      <w:tr>
        <w:trPr>
          <w:trHeight w:val="232"/>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issuances of common stock</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26,119</w:t>
            </w:r>
          </w:p>
        </w:tc>
      </w:tr>
      <w:tr>
        <w:trPr>
          <w:trHeight w:val="227"/>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repayments on term loans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r>
      <w:tr>
        <w:trPr>
          <w:trHeight w:val="23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 withholdings related to net share settlements of equity awards</w:t>
            </w: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(35,627)</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(8,609)</w:t>
            </w:r>
          </w:p>
        </w:tc>
      </w:tr>
      <w:tr>
        <w:trPr>
          <w:trHeight w:val="220"/>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(9,560)</w:t>
            </w:r>
          </w:p>
        </w:tc>
      </w:tr>
      <w:tr>
        <w:trPr>
          <w:trHeight w:val="23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20"/>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(96,095)</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197,206</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141,769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101,111</w:t>
            </w:r>
          </w:p>
        </w:tc>
      </w:tr>
      <w:tr>
        <w:trPr>
          <w:trHeight w:val="24"/>
        </w:trPr>
        <w:tc>
          <w:tcPr>
            <w:tcW w:w="8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ectPr>
          <w:pgSz w:w="11900" w:h="16838" w:orient="portrait"/>
          <w:cols w:equalWidth="0" w:num="1">
            <w:col w:w="11100"/>
          </w:cols>
          <w:pgMar w:left="400" w:top="887" w:right="3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14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June 27, 2026</w:t>
            </w:r>
          </w:p>
        </w:tc>
        <w:tc>
          <w:tcPr>
            <w:tcW w:w="16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0" w:type="dxa"/>
            <w:vAlign w:val="bottom"/>
          </w:tcPr>
          <w:p>
            <w:pPr>
              <w:spacing w:after="0"/>
              <w:rPr>
                <w:sz w:val="1"/>
                <w:szCs w:val="1"/>
                <w:color w:val="auto"/>
              </w:rPr>
            </w:pPr>
          </w:p>
        </w:tc>
      </w:tr>
      <w:tr>
        <w:trPr>
          <w:trHeight w:val="214"/>
        </w:trPr>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138,179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103,330</w:t>
            </w:r>
          </w:p>
        </w:tc>
        <w:tc>
          <w:tcPr>
            <w:tcW w:w="0" w:type="dxa"/>
            <w:vAlign w:val="bottom"/>
          </w:tcPr>
          <w:p>
            <w:pPr>
              <w:spacing w:after="0"/>
              <w:rPr>
                <w:sz w:val="1"/>
                <w:szCs w:val="1"/>
                <w:color w:val="auto"/>
              </w:rPr>
            </w:pPr>
          </w:p>
        </w:tc>
      </w:tr>
      <w:tr>
        <w:trPr>
          <w:trHeight w:val="227"/>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171,842</w:t>
            </w:r>
          </w:p>
        </w:tc>
        <w:tc>
          <w:tcPr>
            <w:tcW w:w="0" w:type="dxa"/>
            <w:vAlign w:val="bottom"/>
          </w:tcPr>
          <w:p>
            <w:pPr>
              <w:spacing w:after="0"/>
              <w:rPr>
                <w:sz w:val="1"/>
                <w:szCs w:val="1"/>
                <w:color w:val="auto"/>
              </w:rPr>
            </w:pPr>
          </w:p>
        </w:tc>
      </w:tr>
      <w:tr>
        <w:trPr>
          <w:trHeight w:val="232"/>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152,663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125,416</w:t>
            </w:r>
          </w:p>
        </w:tc>
        <w:tc>
          <w:tcPr>
            <w:tcW w:w="0" w:type="dxa"/>
            <w:vAlign w:val="bottom"/>
          </w:tcPr>
          <w:p>
            <w:pPr>
              <w:spacing w:after="0"/>
              <w:rPr>
                <w:sz w:val="1"/>
                <w:szCs w:val="1"/>
                <w:color w:val="auto"/>
              </w:rPr>
            </w:pPr>
          </w:p>
        </w:tc>
      </w:tr>
      <w:tr>
        <w:trPr>
          <w:trHeight w:val="227"/>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110,884</w:t>
            </w: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0" w:type="dxa"/>
            <w:vAlign w:val="bottom"/>
          </w:tcPr>
          <w:p>
            <w:pPr>
              <w:spacing w:after="0"/>
              <w:rPr>
                <w:sz w:val="1"/>
                <w:szCs w:val="1"/>
                <w:color w:val="auto"/>
              </w:rPr>
            </w:pPr>
          </w:p>
        </w:tc>
      </w:tr>
      <w:tr>
        <w:trPr>
          <w:trHeight w:val="227"/>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45,855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44,519</w:t>
            </w:r>
          </w:p>
        </w:tc>
        <w:tc>
          <w:tcPr>
            <w:tcW w:w="0" w:type="dxa"/>
            <w:vAlign w:val="bottom"/>
          </w:tcPr>
          <w:p>
            <w:pPr>
              <w:spacing w:after="0"/>
              <w:rPr>
                <w:sz w:val="1"/>
                <w:szCs w:val="1"/>
                <w:color w:val="auto"/>
              </w:rPr>
            </w:pPr>
          </w:p>
        </w:tc>
      </w:tr>
      <w:tr>
        <w:trPr>
          <w:trHeight w:val="22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724,294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557,054</w:t>
            </w:r>
          </w:p>
        </w:tc>
        <w:tc>
          <w:tcPr>
            <w:tcW w:w="0" w:type="dxa"/>
            <w:vAlign w:val="bottom"/>
          </w:tcPr>
          <w:p>
            <w:pPr>
              <w:spacing w:after="0"/>
              <w:rPr>
                <w:sz w:val="1"/>
                <w:szCs w:val="1"/>
                <w:color w:val="auto"/>
              </w:rPr>
            </w:pPr>
          </w:p>
        </w:tc>
      </w:tr>
      <w:tr>
        <w:trPr>
          <w:trHeight w:val="22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0" w:type="dxa"/>
            <w:vAlign w:val="bottom"/>
          </w:tcPr>
          <w:p>
            <w:pPr>
              <w:spacing w:after="0"/>
              <w:rPr>
                <w:sz w:val="1"/>
                <w:szCs w:val="1"/>
                <w:color w:val="auto"/>
              </w:rPr>
            </w:pPr>
          </w:p>
        </w:tc>
      </w:tr>
      <w:tr>
        <w:trPr>
          <w:trHeight w:val="23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right-of-use-assets</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17,202</w:t>
            </w:r>
          </w:p>
        </w:tc>
        <w:tc>
          <w:tcPr>
            <w:tcW w:w="0" w:type="dxa"/>
            <w:vAlign w:val="bottom"/>
          </w:tcPr>
          <w:p>
            <w:pPr>
              <w:spacing w:after="0"/>
              <w:rPr>
                <w:sz w:val="1"/>
                <w:szCs w:val="1"/>
                <w:color w:val="auto"/>
              </w:rPr>
            </w:pPr>
          </w:p>
        </w:tc>
      </w:tr>
      <w:tr>
        <w:trPr>
          <w:trHeight w:val="22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259,068</w:t>
            </w: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investment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70,467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64,096</w:t>
            </w:r>
          </w:p>
        </w:tc>
        <w:tc>
          <w:tcPr>
            <w:tcW w:w="0" w:type="dxa"/>
            <w:vAlign w:val="bottom"/>
          </w:tcPr>
          <w:p>
            <w:pPr>
              <w:spacing w:after="0"/>
              <w:rPr>
                <w:sz w:val="1"/>
                <w:szCs w:val="1"/>
                <w:color w:val="auto"/>
              </w:rPr>
            </w:pPr>
          </w:p>
        </w:tc>
      </w:tr>
      <w:tr>
        <w:trPr>
          <w:trHeight w:val="226"/>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216,029</w:t>
            </w: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16,302</w:t>
            </w:r>
          </w:p>
        </w:tc>
        <w:tc>
          <w:tcPr>
            <w:tcW w:w="0" w:type="dxa"/>
            <w:vAlign w:val="bottom"/>
          </w:tcPr>
          <w:p>
            <w:pPr>
              <w:spacing w:after="0"/>
              <w:rPr>
                <w:sz w:val="1"/>
                <w:szCs w:val="1"/>
                <w:color w:val="auto"/>
              </w:rPr>
            </w:pPr>
          </w:p>
        </w:tc>
      </w:tr>
      <w:tr>
        <w:trPr>
          <w:trHeight w:val="22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89,524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0" w:type="dxa"/>
            <w:vAlign w:val="bottom"/>
          </w:tcPr>
          <w:p>
            <w:pPr>
              <w:spacing w:after="0"/>
              <w:rPr>
                <w:sz w:val="1"/>
                <w:szCs w:val="1"/>
                <w:color w:val="auto"/>
              </w:rPr>
            </w:pPr>
          </w:p>
        </w:tc>
      </w:tr>
      <w:tr>
        <w:trPr>
          <w:trHeight w:val="223"/>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1,431,701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1,342,480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1,224,362</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75,408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47,436</w:t>
            </w: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47,535</w:t>
            </w:r>
          </w:p>
        </w:tc>
        <w:tc>
          <w:tcPr>
            <w:tcW w:w="0" w:type="dxa"/>
            <w:vAlign w:val="bottom"/>
          </w:tcPr>
          <w:p>
            <w:pPr>
              <w:spacing w:after="0"/>
              <w:rPr>
                <w:sz w:val="1"/>
                <w:szCs w:val="1"/>
                <w:color w:val="auto"/>
              </w:rPr>
            </w:pPr>
          </w:p>
        </w:tc>
      </w:tr>
      <w:tr>
        <w:trPr>
          <w:trHeight w:val="226"/>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net of unamortized issuance costs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20,091</w:t>
            </w:r>
          </w:p>
        </w:tc>
        <w:tc>
          <w:tcPr>
            <w:tcW w:w="0" w:type="dxa"/>
            <w:vAlign w:val="bottom"/>
          </w:tcPr>
          <w:p>
            <w:pPr>
              <w:spacing w:after="0"/>
              <w:rPr>
                <w:sz w:val="1"/>
                <w:szCs w:val="1"/>
                <w:color w:val="auto"/>
              </w:rPr>
            </w:pPr>
          </w:p>
        </w:tc>
      </w:tr>
      <w:tr>
        <w:trPr>
          <w:trHeight w:val="227"/>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grant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8,126</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7,662</w:t>
            </w:r>
          </w:p>
        </w:tc>
        <w:tc>
          <w:tcPr>
            <w:tcW w:w="0" w:type="dxa"/>
            <w:vAlign w:val="bottom"/>
          </w:tcPr>
          <w:p>
            <w:pPr>
              <w:spacing w:after="0"/>
              <w:rPr>
                <w:sz w:val="1"/>
                <w:szCs w:val="1"/>
                <w:color w:val="auto"/>
              </w:rPr>
            </w:pPr>
          </w:p>
        </w:tc>
      </w:tr>
      <w:tr>
        <w:trPr>
          <w:trHeight w:val="220"/>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123,861</w:t>
            </w: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 net of unamortized issuance costs</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11,071</w:t>
            </w:r>
          </w:p>
        </w:tc>
        <w:tc>
          <w:tcPr>
            <w:tcW w:w="0" w:type="dxa"/>
            <w:vAlign w:val="bottom"/>
          </w:tcPr>
          <w:p>
            <w:pPr>
              <w:spacing w:after="0"/>
              <w:rPr>
                <w:sz w:val="1"/>
                <w:szCs w:val="1"/>
                <w:color w:val="auto"/>
              </w:rPr>
            </w:pPr>
          </w:p>
        </w:tc>
      </w:tr>
      <w:tr>
        <w:trPr>
          <w:trHeight w:val="226"/>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12,488</w:t>
            </w:r>
          </w:p>
        </w:tc>
        <w:tc>
          <w:tcPr>
            <w:tcW w:w="0" w:type="dxa"/>
            <w:vAlign w:val="bottom"/>
          </w:tcPr>
          <w:p>
            <w:pPr>
              <w:spacing w:after="0"/>
              <w:rPr>
                <w:sz w:val="1"/>
                <w:szCs w:val="1"/>
                <w:color w:val="auto"/>
              </w:rPr>
            </w:pPr>
          </w:p>
        </w:tc>
      </w:tr>
      <w:tr>
        <w:trPr>
          <w:trHeight w:val="226"/>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grant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32,665</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21,939</w:t>
            </w:r>
          </w:p>
        </w:tc>
        <w:tc>
          <w:tcPr>
            <w:tcW w:w="0" w:type="dxa"/>
            <w:vAlign w:val="bottom"/>
          </w:tcPr>
          <w:p>
            <w:pPr>
              <w:spacing w:after="0"/>
              <w:rPr>
                <w:sz w:val="1"/>
                <w:szCs w:val="1"/>
                <w:color w:val="auto"/>
              </w:rPr>
            </w:pPr>
          </w:p>
        </w:tc>
      </w:tr>
      <w:tr>
        <w:trPr>
          <w:trHeight w:val="220"/>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188,959</w:t>
            </w:r>
          </w:p>
        </w:tc>
        <w:tc>
          <w:tcPr>
            <w:tcW w:w="0" w:type="dxa"/>
            <w:vAlign w:val="bottom"/>
          </w:tcPr>
          <w:p>
            <w:pPr>
              <w:spacing w:after="0"/>
              <w:rPr>
                <w:sz w:val="1"/>
                <w:szCs w:val="1"/>
                <w:color w:val="auto"/>
              </w:rPr>
            </w:pPr>
          </w:p>
        </w:tc>
      </w:tr>
      <w:tr>
        <w:trPr>
          <w:trHeight w:val="165"/>
        </w:trPr>
        <w:tc>
          <w:tcPr>
            <w:tcW w:w="7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27"/>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864,843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870,028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863,547</w:t>
            </w: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w:t>
            </w:r>
          </w:p>
        </w:tc>
        <w:tc>
          <w:tcPr>
            <w:tcW w:w="0" w:type="dxa"/>
            <w:vAlign w:val="bottom"/>
          </w:tcPr>
          <w:p>
            <w:pPr>
              <w:spacing w:after="0"/>
              <w:rPr>
                <w:sz w:val="1"/>
                <w:szCs w:val="1"/>
                <w:color w:val="auto"/>
              </w:rPr>
            </w:pPr>
          </w:p>
        </w:tc>
      </w:tr>
      <w:tr>
        <w:trPr>
          <w:trHeight w:val="226"/>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income</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251,897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175,306</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1,181,284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1,111,360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1,035,403</w:t>
            </w:r>
          </w:p>
        </w:tc>
        <w:tc>
          <w:tcPr>
            <w:tcW w:w="0" w:type="dxa"/>
            <w:vAlign w:val="bottom"/>
          </w:tcPr>
          <w:p>
            <w:pPr>
              <w:spacing w:after="0"/>
              <w:rPr>
                <w:sz w:val="1"/>
                <w:szCs w:val="1"/>
                <w:color w:val="auto"/>
              </w:rPr>
            </w:pPr>
          </w:p>
        </w:tc>
      </w:tr>
      <w:tr>
        <w:trPr>
          <w:trHeight w:val="223"/>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1,431,701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1,342,480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1,224,362</w:t>
            </w:r>
          </w:p>
        </w:tc>
        <w:tc>
          <w:tcPr>
            <w:tcW w:w="0" w:type="dxa"/>
            <w:vAlign w:val="bottom"/>
          </w:tcPr>
          <w:p>
            <w:pPr>
              <w:spacing w:after="0"/>
              <w:rPr>
                <w:sz w:val="1"/>
                <w:szCs w:val="1"/>
                <w:color w:val="auto"/>
              </w:rPr>
            </w:pPr>
          </w:p>
        </w:tc>
      </w:tr>
      <w:tr>
        <w:trPr>
          <w:trHeight w:val="24"/>
        </w:trPr>
        <w:tc>
          <w:tcPr>
            <w:tcW w:w="7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About our Non-GAAP Financial Measures:</w:t>
      </w:r>
    </w:p>
    <w:p>
      <w:pPr>
        <w:spacing w:after="0" w:line="2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believe that the presentation of non-GAAP net income, non-GAAP net income per basic and diluted share, non-GAAP gross profit, non-GAAP gross margin, non-GAAP operating expenses, non-GAAP operating income and free cash flow provides supplemental information that is important to understand financial and business trends and other factors relating to our financial condition and results of operations. Non-GAAP net income, non-GAAP net income per basic and diluted share, non-GAAP gross profit, non-GAAP gross margin, non-GAAP operating expenses, and non-GAAP operating income are among the primary indicators used by management as a basis for planning and forecasting future periods, and by management and our board of directors to determine whether our operating performance has met certain targets and thresholds. Management uses non-GAAP net income, non-GAAP net income per basic and diluted share, non-GAAP gross profit, non-GAAP gross margin, non-GAAP operating expenses, and non-GAAP operating income when evaluating operating performance because it believes that the exclusion of the items indicated herein, for which the amounts or timing may vary significantly depending upon our activities and other factors, facilitates comparability of our operating performance from period to period. We use free cash flow to conduct and evaluate our business as an additional way of viewing our liquidity that, when viewed with our GAAP results, provides a more complete understanding of factors and trends affecting our cash flows. Many investors also prefer to track free cash flow, as opposed to only GAAP earnings. Free cash flow has limitations due to the fact that it does not represent the residual cash flow available for discretionary expenditures, and therefore it is important to view free cash flow as a complement to our entire consolidated statements of cash flows. We have chosen to provide this non-GAAP information to investors so they can analyze our operating results closer to the way that management does, and use this information in their assessment of our business and the valuation of our Company. We compute non-GAAP net income, non-GAAP net income per basic and diluted share, non-GAAP gross profit, non-GAAP gross margin, non-GAAP operating expenses, and non-GAAP operating income, by adjusting GAAP net income, GAAP net income per basic and diluted share, GAAP gross profit, GAAP gross margin, GAAP operating expenses, and GAAP operating income to remove the impact of certain items and the tax effect, if applicable, of those adjustments. These non-GAAP measures are not in accordance with, or an alternative to, GAAP, and may be materially different from other non-GAAP measures, including similarly titled non-GAAP measures used by other companies. The presentation of this additional information should not be considered in isolation from, as a substitute for, or superior to, net income, net income per basic and diluted share, gross profit, gross margin, operating expenses, or operating income in accordance with GAAP. Non-GAAP financial measures have limitations in that they do not reflect certain items that may have a material impact upon our reported financial results. We may expect to continue to incur expenses of a nature similar to the non-GAAP adjustments described above, and exclusion of these items from our non-GAAP net income, non-GAAP net income per basic and diluted share, non-GAAP gross profit, non-GAAP gross margin, non-GAAP operating expenses, and non-GAAP operating income should not be construed as an inference that these costs are unusual, infrequent or non-recurring. For more information on the non-GAAP adjustments, please see the table captioned “Non-GAAP Financial Measure Reconciliations” included in this press release.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FormFactor,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FORM-F</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92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2026-10-28T15:04:38Z</dcterms:created>
  <dcterms:modified xsi:type="dcterms:W3CDTF">2026-10-28T15:04:38Z</dcterms:modified>
</cp:coreProperties>
</file>